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8E1" w:rsidRDefault="003938E1" w:rsidP="0096324A">
      <w:pPr>
        <w:spacing w:before="360" w:after="480"/>
        <w:jc w:val="center"/>
        <w:rPr>
          <w:rFonts w:ascii="Verdana" w:hAnsi="Verdana" w:cs="Arial"/>
          <w:b/>
          <w:sz w:val="28"/>
          <w:szCs w:val="28"/>
        </w:rPr>
      </w:pPr>
      <w:bookmarkStart w:id="0" w:name="_GoBack"/>
      <w:bookmarkEnd w:id="0"/>
      <w:r>
        <w:rPr>
          <w:noProof/>
          <w:lang w:eastAsia="nl-NL"/>
        </w:rPr>
        <w:drawing>
          <wp:inline distT="0" distB="0" distL="0" distR="0">
            <wp:extent cx="4476750" cy="2857500"/>
            <wp:effectExtent l="0" t="0" r="0" b="0"/>
            <wp:docPr id="2" name="Afbeelding 2" descr="http://www.selor.be/media/215976/centrumgelijkek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lor.be/media/215976/centrumgelijkekansen.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76750" cy="2857500"/>
                    </a:xfrm>
                    <a:prstGeom prst="rect">
                      <a:avLst/>
                    </a:prstGeom>
                    <a:noFill/>
                    <a:ln>
                      <a:noFill/>
                    </a:ln>
                  </pic:spPr>
                </pic:pic>
              </a:graphicData>
            </a:graphic>
          </wp:inline>
        </w:drawing>
      </w:r>
    </w:p>
    <w:p w:rsidR="00E26D18" w:rsidRPr="0096324A" w:rsidRDefault="0096324A" w:rsidP="0096324A">
      <w:pPr>
        <w:spacing w:before="360" w:after="480"/>
        <w:jc w:val="center"/>
        <w:rPr>
          <w:rFonts w:ascii="Verdana" w:hAnsi="Verdana" w:cs="Arial"/>
          <w:b/>
          <w:sz w:val="28"/>
          <w:szCs w:val="28"/>
        </w:rPr>
      </w:pPr>
      <w:r w:rsidRPr="0096324A">
        <w:rPr>
          <w:rFonts w:ascii="Verdana" w:hAnsi="Verdana" w:cs="Arial"/>
          <w:b/>
          <w:sz w:val="28"/>
          <w:szCs w:val="28"/>
        </w:rPr>
        <w:t xml:space="preserve">Advies van het Centrum voor gelijkheid van kansen en </w:t>
      </w:r>
      <w:r w:rsidR="00C6266D">
        <w:rPr>
          <w:rFonts w:ascii="Verdana" w:hAnsi="Verdana" w:cs="Arial"/>
          <w:b/>
          <w:sz w:val="28"/>
          <w:szCs w:val="28"/>
        </w:rPr>
        <w:t xml:space="preserve">voor </w:t>
      </w:r>
      <w:r w:rsidRPr="0096324A">
        <w:rPr>
          <w:rFonts w:ascii="Verdana" w:hAnsi="Verdana" w:cs="Arial"/>
          <w:b/>
          <w:sz w:val="28"/>
          <w:szCs w:val="28"/>
        </w:rPr>
        <w:t>racismebestrijding</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488"/>
      </w:tblGrid>
      <w:tr w:rsidR="00E26D18" w:rsidRPr="00835EDE" w:rsidTr="00381FE9">
        <w:tc>
          <w:tcPr>
            <w:tcW w:w="1368" w:type="dxa"/>
            <w:shd w:val="clear" w:color="auto" w:fill="auto"/>
          </w:tcPr>
          <w:p w:rsidR="00E26D18" w:rsidRPr="00660792" w:rsidRDefault="00E26D18" w:rsidP="00E26D18">
            <w:pPr>
              <w:spacing w:before="0" w:after="0"/>
              <w:rPr>
                <w:rFonts w:cs="Arial"/>
                <w:sz w:val="22"/>
                <w:szCs w:val="22"/>
                <w:lang w:val="nl-BE"/>
              </w:rPr>
            </w:pPr>
            <w:r w:rsidRPr="00660792">
              <w:rPr>
                <w:rFonts w:cs="Arial"/>
                <w:sz w:val="22"/>
                <w:szCs w:val="22"/>
                <w:lang w:val="nl-BE"/>
              </w:rPr>
              <w:t>Datum :</w:t>
            </w:r>
          </w:p>
        </w:tc>
        <w:tc>
          <w:tcPr>
            <w:tcW w:w="7488" w:type="dxa"/>
            <w:shd w:val="clear" w:color="auto" w:fill="auto"/>
          </w:tcPr>
          <w:p w:rsidR="00E26D18" w:rsidRPr="00660792" w:rsidRDefault="00EB168F" w:rsidP="00A77988">
            <w:pPr>
              <w:spacing w:before="0" w:after="0"/>
              <w:rPr>
                <w:rFonts w:cs="Arial"/>
                <w:sz w:val="22"/>
                <w:szCs w:val="22"/>
                <w:lang w:val="fr-FR"/>
              </w:rPr>
            </w:pPr>
            <w:r>
              <w:rPr>
                <w:rFonts w:cs="Arial"/>
                <w:sz w:val="22"/>
                <w:szCs w:val="22"/>
                <w:lang w:val="fr-FR"/>
              </w:rPr>
              <w:t>2</w:t>
            </w:r>
            <w:r w:rsidR="00A77988">
              <w:rPr>
                <w:rFonts w:cs="Arial"/>
                <w:sz w:val="22"/>
                <w:szCs w:val="22"/>
                <w:lang w:val="fr-FR"/>
              </w:rPr>
              <w:t>5</w:t>
            </w:r>
            <w:r>
              <w:rPr>
                <w:rFonts w:cs="Arial"/>
                <w:sz w:val="22"/>
                <w:szCs w:val="22"/>
                <w:lang w:val="fr-FR"/>
              </w:rPr>
              <w:t xml:space="preserve"> september 2013</w:t>
            </w:r>
          </w:p>
        </w:tc>
      </w:tr>
      <w:tr w:rsidR="00E26D18" w:rsidRPr="00835EDE" w:rsidTr="00381FE9">
        <w:tc>
          <w:tcPr>
            <w:tcW w:w="1368" w:type="dxa"/>
            <w:shd w:val="clear" w:color="auto" w:fill="auto"/>
          </w:tcPr>
          <w:p w:rsidR="00E26D18" w:rsidRPr="00660792" w:rsidRDefault="00E26D18" w:rsidP="00E26D18">
            <w:pPr>
              <w:spacing w:before="0" w:after="0"/>
              <w:rPr>
                <w:rFonts w:cs="Arial"/>
                <w:sz w:val="22"/>
                <w:szCs w:val="22"/>
                <w:lang w:val="nl-BE"/>
              </w:rPr>
            </w:pPr>
          </w:p>
        </w:tc>
        <w:tc>
          <w:tcPr>
            <w:tcW w:w="7488" w:type="dxa"/>
            <w:shd w:val="clear" w:color="auto" w:fill="auto"/>
          </w:tcPr>
          <w:p w:rsidR="00E26D18" w:rsidRPr="00660792" w:rsidRDefault="00E26D18" w:rsidP="00E26D18">
            <w:pPr>
              <w:spacing w:before="0" w:after="0"/>
              <w:rPr>
                <w:rFonts w:cs="Arial"/>
                <w:sz w:val="22"/>
                <w:szCs w:val="22"/>
                <w:lang w:val="fr-FR"/>
              </w:rPr>
            </w:pPr>
          </w:p>
        </w:tc>
      </w:tr>
      <w:tr w:rsidR="00E26D18" w:rsidRPr="00835EDE" w:rsidTr="00381FE9">
        <w:tc>
          <w:tcPr>
            <w:tcW w:w="1368" w:type="dxa"/>
            <w:shd w:val="clear" w:color="auto" w:fill="auto"/>
          </w:tcPr>
          <w:p w:rsidR="00E26D18" w:rsidRPr="00660792" w:rsidRDefault="00E26D18" w:rsidP="00E26D18">
            <w:pPr>
              <w:spacing w:before="0" w:after="0"/>
              <w:rPr>
                <w:rFonts w:cs="Arial"/>
                <w:sz w:val="22"/>
                <w:szCs w:val="22"/>
                <w:lang w:val="nl-BE"/>
              </w:rPr>
            </w:pPr>
            <w:r w:rsidRPr="00660792">
              <w:rPr>
                <w:rFonts w:cs="Arial"/>
                <w:sz w:val="22"/>
                <w:szCs w:val="22"/>
                <w:lang w:val="nl-BE"/>
              </w:rPr>
              <w:t>Ter attentie van :</w:t>
            </w:r>
          </w:p>
        </w:tc>
        <w:tc>
          <w:tcPr>
            <w:tcW w:w="7488" w:type="dxa"/>
            <w:shd w:val="clear" w:color="auto" w:fill="auto"/>
          </w:tcPr>
          <w:p w:rsidR="00E26D18" w:rsidRPr="00660792" w:rsidRDefault="00E26D18" w:rsidP="00E26D18">
            <w:pPr>
              <w:spacing w:before="0" w:after="0"/>
              <w:rPr>
                <w:rFonts w:cs="Arial"/>
                <w:sz w:val="22"/>
                <w:szCs w:val="22"/>
                <w:lang w:val="fr-FR"/>
              </w:rPr>
            </w:pPr>
            <w:r w:rsidRPr="00660792">
              <w:rPr>
                <w:rFonts w:cs="Arial"/>
                <w:sz w:val="22"/>
                <w:szCs w:val="22"/>
                <w:lang w:val="fr-FR"/>
              </w:rPr>
              <w:t xml:space="preserve">Minister Jo </w:t>
            </w:r>
            <w:r w:rsidR="0096324A" w:rsidRPr="00660792">
              <w:rPr>
                <w:rFonts w:cs="Arial"/>
                <w:sz w:val="22"/>
                <w:szCs w:val="22"/>
                <w:lang w:val="fr-FR"/>
              </w:rPr>
              <w:t>VANDEURZEN</w:t>
            </w:r>
          </w:p>
        </w:tc>
      </w:tr>
      <w:tr w:rsidR="00E26D18" w:rsidRPr="00835EDE" w:rsidTr="00381FE9">
        <w:tc>
          <w:tcPr>
            <w:tcW w:w="1368" w:type="dxa"/>
            <w:shd w:val="clear" w:color="auto" w:fill="auto"/>
          </w:tcPr>
          <w:p w:rsidR="00E26D18" w:rsidRPr="00660792" w:rsidRDefault="00E26D18" w:rsidP="00E26D18">
            <w:pPr>
              <w:spacing w:before="0" w:after="0"/>
              <w:rPr>
                <w:rFonts w:cs="Arial"/>
                <w:sz w:val="22"/>
                <w:szCs w:val="22"/>
                <w:lang w:val="nl-BE"/>
              </w:rPr>
            </w:pPr>
          </w:p>
        </w:tc>
        <w:tc>
          <w:tcPr>
            <w:tcW w:w="7488" w:type="dxa"/>
            <w:shd w:val="clear" w:color="auto" w:fill="auto"/>
          </w:tcPr>
          <w:p w:rsidR="0096324A" w:rsidRPr="00660792" w:rsidRDefault="0096324A" w:rsidP="0096324A">
            <w:pPr>
              <w:spacing w:before="0" w:after="0"/>
              <w:rPr>
                <w:rFonts w:cs="Arial"/>
                <w:sz w:val="22"/>
                <w:szCs w:val="22"/>
              </w:rPr>
            </w:pPr>
            <w:r w:rsidRPr="00660792">
              <w:rPr>
                <w:rFonts w:cs="Arial"/>
                <w:sz w:val="22"/>
                <w:szCs w:val="22"/>
              </w:rPr>
              <w:t>Vlaams minister van Welzijn, Volksgezondheid en Gezin</w:t>
            </w:r>
          </w:p>
          <w:p w:rsidR="0096324A" w:rsidRPr="00660792" w:rsidRDefault="0096324A" w:rsidP="0096324A">
            <w:pPr>
              <w:spacing w:before="0" w:after="0"/>
              <w:rPr>
                <w:rFonts w:cs="Arial"/>
                <w:sz w:val="22"/>
                <w:szCs w:val="22"/>
              </w:rPr>
            </w:pPr>
            <w:r w:rsidRPr="00660792">
              <w:rPr>
                <w:rFonts w:cs="Arial"/>
                <w:sz w:val="22"/>
                <w:szCs w:val="22"/>
              </w:rPr>
              <w:t>Koning Albert II-laan 35 bus 90</w:t>
            </w:r>
          </w:p>
          <w:p w:rsidR="00E26D18" w:rsidRPr="00660792" w:rsidRDefault="0096324A" w:rsidP="00E26D18">
            <w:pPr>
              <w:spacing w:before="0" w:after="0"/>
              <w:rPr>
                <w:rFonts w:cs="Arial"/>
                <w:sz w:val="22"/>
                <w:szCs w:val="22"/>
              </w:rPr>
            </w:pPr>
            <w:r w:rsidRPr="00660792">
              <w:rPr>
                <w:rFonts w:cs="Arial"/>
                <w:sz w:val="22"/>
                <w:szCs w:val="22"/>
              </w:rPr>
              <w:t>B-1030 Brussel</w:t>
            </w:r>
          </w:p>
          <w:p w:rsidR="0096324A" w:rsidRPr="00660792" w:rsidRDefault="0096324A" w:rsidP="00E26D18">
            <w:pPr>
              <w:spacing w:before="0" w:after="0"/>
              <w:rPr>
                <w:rFonts w:cs="Arial"/>
                <w:sz w:val="22"/>
                <w:szCs w:val="22"/>
              </w:rPr>
            </w:pPr>
          </w:p>
        </w:tc>
      </w:tr>
      <w:tr w:rsidR="00E26D18" w:rsidRPr="0096324A" w:rsidTr="00381FE9">
        <w:tc>
          <w:tcPr>
            <w:tcW w:w="1368" w:type="dxa"/>
            <w:shd w:val="clear" w:color="auto" w:fill="auto"/>
          </w:tcPr>
          <w:p w:rsidR="00E26D18" w:rsidRPr="00E26D18" w:rsidRDefault="0096324A" w:rsidP="00E26D18">
            <w:pPr>
              <w:spacing w:before="0" w:after="0"/>
              <w:rPr>
                <w:rFonts w:ascii="Arial" w:hAnsi="Arial" w:cs="Arial"/>
                <w:sz w:val="22"/>
                <w:szCs w:val="22"/>
                <w:lang w:val="nl-BE"/>
              </w:rPr>
            </w:pPr>
            <w:r w:rsidRPr="00660792">
              <w:rPr>
                <w:rFonts w:cs="Arial"/>
                <w:sz w:val="22"/>
                <w:szCs w:val="22"/>
                <w:lang w:val="nl-BE"/>
              </w:rPr>
              <w:t>Voorwerp</w:t>
            </w:r>
            <w:r>
              <w:rPr>
                <w:rFonts w:ascii="Arial" w:hAnsi="Arial" w:cs="Arial"/>
                <w:sz w:val="22"/>
                <w:szCs w:val="22"/>
                <w:lang w:val="nl-BE"/>
              </w:rPr>
              <w:t>:</w:t>
            </w:r>
          </w:p>
        </w:tc>
        <w:tc>
          <w:tcPr>
            <w:tcW w:w="7488" w:type="dxa"/>
            <w:shd w:val="clear" w:color="auto" w:fill="auto"/>
          </w:tcPr>
          <w:p w:rsidR="00E26D18" w:rsidRPr="0096324A" w:rsidRDefault="009A55F7" w:rsidP="00E26D18">
            <w:pPr>
              <w:spacing w:before="0" w:after="0"/>
              <w:rPr>
                <w:rFonts w:ascii="Arial" w:hAnsi="Arial" w:cs="Arial"/>
                <w:b/>
                <w:sz w:val="22"/>
                <w:szCs w:val="22"/>
              </w:rPr>
            </w:pPr>
            <w:r w:rsidRPr="009A55F7">
              <w:t>het voorontwerp van decreet over de Persoonsvolgende financiering voor personen met een handicap en tot hervorming van de wijze van financiering van de zorg en de ondersteuning voor personen met een handicap</w:t>
            </w:r>
          </w:p>
        </w:tc>
      </w:tr>
      <w:tr w:rsidR="00E26D18" w:rsidRPr="0096324A" w:rsidTr="00381FE9">
        <w:tc>
          <w:tcPr>
            <w:tcW w:w="1368" w:type="dxa"/>
            <w:shd w:val="clear" w:color="auto" w:fill="auto"/>
          </w:tcPr>
          <w:p w:rsidR="00E26D18" w:rsidRPr="0096324A" w:rsidRDefault="00E26D18" w:rsidP="00E26D18">
            <w:pPr>
              <w:spacing w:before="0" w:after="0"/>
              <w:rPr>
                <w:rFonts w:ascii="Arial" w:hAnsi="Arial" w:cs="Arial"/>
                <w:sz w:val="22"/>
                <w:szCs w:val="22"/>
                <w:u w:val="single"/>
              </w:rPr>
            </w:pPr>
          </w:p>
        </w:tc>
        <w:tc>
          <w:tcPr>
            <w:tcW w:w="7488" w:type="dxa"/>
            <w:shd w:val="clear" w:color="auto" w:fill="auto"/>
          </w:tcPr>
          <w:p w:rsidR="00E26D18" w:rsidRPr="0096324A" w:rsidRDefault="00E26D18" w:rsidP="00E26D18">
            <w:pPr>
              <w:spacing w:before="0" w:after="0"/>
              <w:rPr>
                <w:rFonts w:ascii="Arial" w:hAnsi="Arial" w:cs="Arial"/>
                <w:sz w:val="22"/>
                <w:szCs w:val="22"/>
              </w:rPr>
            </w:pPr>
          </w:p>
        </w:tc>
      </w:tr>
    </w:tbl>
    <w:p w:rsidR="00AE1B05" w:rsidRDefault="009C6B8B" w:rsidP="0096324A">
      <w:pPr>
        <w:spacing w:before="480"/>
      </w:pPr>
      <w:r w:rsidRPr="004A55BD">
        <w:t>Het advies wordt uitgebracht op het voorontwerp</w:t>
      </w:r>
      <w:r w:rsidR="00A01769">
        <w:t xml:space="preserve"> </w:t>
      </w:r>
      <w:r w:rsidR="00E26D18">
        <w:t xml:space="preserve">zoals </w:t>
      </w:r>
      <w:r w:rsidRPr="004A55BD">
        <w:t>principieel goedgekeurd door de Vlaamse Regering op 19 juli 2013.</w:t>
      </w:r>
    </w:p>
    <w:p w:rsidR="00AE1B05" w:rsidRDefault="00AE1B05">
      <w:pPr>
        <w:jc w:val="left"/>
      </w:pPr>
      <w:r>
        <w:br w:type="page"/>
      </w:r>
    </w:p>
    <w:p w:rsidR="008F11FD" w:rsidRPr="00AF0276" w:rsidRDefault="005B2E18" w:rsidP="00AF0276">
      <w:pPr>
        <w:pStyle w:val="Kop2"/>
        <w:rPr>
          <w:caps w:val="0"/>
        </w:rPr>
      </w:pPr>
      <w:r w:rsidRPr="00AF0276">
        <w:rPr>
          <w:caps w:val="0"/>
        </w:rPr>
        <w:lastRenderedPageBreak/>
        <w:t>VOORAF</w:t>
      </w:r>
    </w:p>
    <w:p w:rsidR="00AF0276" w:rsidRPr="00AF0276" w:rsidRDefault="00AF0276" w:rsidP="00AF0276">
      <w:r>
        <w:t xml:space="preserve">In het kader van </w:t>
      </w:r>
      <w:r w:rsidR="006C399A">
        <w:t xml:space="preserve">zijn </w:t>
      </w:r>
      <w:r>
        <w:t xml:space="preserve">mandaat </w:t>
      </w:r>
      <w:r w:rsidR="00973355">
        <w:t xml:space="preserve">zal </w:t>
      </w:r>
      <w:r>
        <w:t>het Centrum voor gelijkheid van kansen en</w:t>
      </w:r>
      <w:r w:rsidR="00C6266D">
        <w:t xml:space="preserve"> voor</w:t>
      </w:r>
      <w:r>
        <w:t xml:space="preserve"> racisme</w:t>
      </w:r>
      <w:r w:rsidR="00973355">
        <w:t>bestrijding</w:t>
      </w:r>
      <w:r>
        <w:t xml:space="preserve"> in het najaar van 2013 een </w:t>
      </w:r>
      <w:r w:rsidR="000213F6">
        <w:t>deskresearch</w:t>
      </w:r>
      <w:r>
        <w:t xml:space="preserve"> en empirisch onderzoek (via focusgroepen</w:t>
      </w:r>
      <w:r w:rsidR="00973355">
        <w:t xml:space="preserve">) uitvoeren </w:t>
      </w:r>
      <w:r>
        <w:t xml:space="preserve">bij het brede middenveld rond handicap met </w:t>
      </w:r>
      <w:r w:rsidRPr="00AF0276">
        <w:t xml:space="preserve">als doel een stand van zaken te krijgen rond de juridische, sociale, en materiele hindernissen en opportuniteiten inzake gelijkheid en non-discriminatie, toegankelijkheid, rechts- en handelingsbekwaamheid, </w:t>
      </w:r>
      <w:r w:rsidR="000213F6">
        <w:t xml:space="preserve">recht op vrijheid en veiligheid van de persoon, </w:t>
      </w:r>
      <w:r w:rsidRPr="00AF0276">
        <w:t>zelfstandig wonen en maatschappelijke inclusie</w:t>
      </w:r>
      <w:r w:rsidR="005B2E18">
        <w:t>, onderwijs</w:t>
      </w:r>
      <w:r w:rsidRPr="00AF0276">
        <w:t xml:space="preserve"> en arbeid.</w:t>
      </w:r>
    </w:p>
    <w:p w:rsidR="005B2E18" w:rsidRDefault="00973355" w:rsidP="005B2E18">
      <w:r>
        <w:t>Ook h</w:t>
      </w:r>
      <w:r w:rsidR="005B2E18">
        <w:t>et thema ondersteuningsbeleid zal opgenomen</w:t>
      </w:r>
      <w:r>
        <w:t xml:space="preserve"> worden</w:t>
      </w:r>
      <w:r w:rsidR="005B2E18">
        <w:t xml:space="preserve"> in de focusgroepen rond zelfstandig wonen en maatschappelijke inclusie. De resultaten van dit proces kunnen aanleiding geven tot een</w:t>
      </w:r>
      <w:r w:rsidR="000213F6">
        <w:t xml:space="preserve"> </w:t>
      </w:r>
      <w:r w:rsidR="00417504">
        <w:t xml:space="preserve">verdere </w:t>
      </w:r>
      <w:r w:rsidR="000213F6">
        <w:t>aftoetsing en</w:t>
      </w:r>
      <w:r w:rsidR="005B2E18">
        <w:t xml:space="preserve"> </w:t>
      </w:r>
      <w:r w:rsidR="000213F6">
        <w:t>verfijning van</w:t>
      </w:r>
      <w:r w:rsidR="005B2E18">
        <w:t xml:space="preserve"> de</w:t>
      </w:r>
      <w:r w:rsidR="000213F6">
        <w:t xml:space="preserve"> positie</w:t>
      </w:r>
      <w:r w:rsidR="005B2E18">
        <w:t xml:space="preserve"> die het Centrum hieronder inneemt.</w:t>
      </w:r>
    </w:p>
    <w:p w:rsidR="009C6B8B" w:rsidRPr="005B2E18" w:rsidRDefault="00353608" w:rsidP="005B2E18">
      <w:pPr>
        <w:pStyle w:val="Kop2"/>
        <w:rPr>
          <w:caps w:val="0"/>
        </w:rPr>
      </w:pPr>
      <w:r>
        <w:rPr>
          <w:caps w:val="0"/>
        </w:rPr>
        <w:t>INLEIDING</w:t>
      </w:r>
    </w:p>
    <w:p w:rsidR="009C6B8B" w:rsidRDefault="009C6B8B" w:rsidP="00D12F11">
      <w:r>
        <w:t xml:space="preserve">Het Centrum </w:t>
      </w:r>
      <w:r w:rsidR="00C6266D">
        <w:t>formuleert</w:t>
      </w:r>
      <w:r>
        <w:t xml:space="preserve"> dit advies vanuit </w:t>
      </w:r>
      <w:r w:rsidR="006C399A">
        <w:t xml:space="preserve">zijn </w:t>
      </w:r>
      <w:r>
        <w:t xml:space="preserve">mandaat van onafhankelijk mechanisme tot </w:t>
      </w:r>
      <w:r w:rsidR="009A1723">
        <w:t xml:space="preserve">bekendmaking, </w:t>
      </w:r>
      <w:r>
        <w:t xml:space="preserve">opvolging </w:t>
      </w:r>
      <w:r w:rsidR="000A1A2E">
        <w:t xml:space="preserve">en bescherming </w:t>
      </w:r>
      <w:r>
        <w:t>van het VN-verdrag</w:t>
      </w:r>
      <w:r w:rsidR="00222236">
        <w:t xml:space="preserve"> inzake de rechten </w:t>
      </w:r>
      <w:r w:rsidR="000A1A2E">
        <w:t xml:space="preserve">van </w:t>
      </w:r>
      <w:r w:rsidR="00222236">
        <w:t>personen</w:t>
      </w:r>
      <w:r w:rsidR="000A1A2E">
        <w:t xml:space="preserve"> met een handicap</w:t>
      </w:r>
      <w:r w:rsidR="00327266">
        <w:t>.</w:t>
      </w:r>
    </w:p>
    <w:p w:rsidR="0071519F" w:rsidRDefault="0071519F" w:rsidP="00D12F11">
      <w:r>
        <w:t xml:space="preserve">Het Vlaams Regeerakkoord 2010 </w:t>
      </w:r>
      <w:r w:rsidR="000A1A2E">
        <w:t>stelde</w:t>
      </w:r>
      <w:r>
        <w:t xml:space="preserve"> onder punt III, 1, dat de </w:t>
      </w:r>
      <w:r w:rsidRPr="000A1A2E">
        <w:rPr>
          <w:i/>
        </w:rPr>
        <w:t>“organisatie en de financiering van gehandicaptenzorg wordt afgestemd op de hedendaagse visie van personen met een handicap en hun plaats in de samenleving. De ondersteuning wordt vraaggestuurd georganiseerd. De verdere ontwikkelingen in de sector worden geleid door het principe van een zo groot mogelijke zelfsturing van personen met een handicap bij de bepaling van de ondersteuning van personen met een handicap”.</w:t>
      </w:r>
    </w:p>
    <w:p w:rsidR="009504BC" w:rsidRDefault="0071519F" w:rsidP="00D12F11">
      <w:r>
        <w:t xml:space="preserve">Het </w:t>
      </w:r>
      <w:r w:rsidR="000A1A2E">
        <w:t xml:space="preserve">voorliggend </w:t>
      </w:r>
      <w:r>
        <w:t>v</w:t>
      </w:r>
      <w:r w:rsidR="00222236">
        <w:t xml:space="preserve">oorontwerp van decreet inzake de persoonsvolgende financiering geeft </w:t>
      </w:r>
      <w:r w:rsidR="00A01769">
        <w:t xml:space="preserve">mee </w:t>
      </w:r>
      <w:r w:rsidR="00222236">
        <w:t xml:space="preserve">uitvoering aan de </w:t>
      </w:r>
      <w:r w:rsidR="00792071">
        <w:t>visie</w:t>
      </w:r>
      <w:r w:rsidR="00222236">
        <w:t>nota Perspectief 2020</w:t>
      </w:r>
      <w:r w:rsidR="009504BC">
        <w:t>.</w:t>
      </w:r>
    </w:p>
    <w:p w:rsidR="00831A32" w:rsidRDefault="0071519F" w:rsidP="00D12F11">
      <w:r>
        <w:t xml:space="preserve">Deze </w:t>
      </w:r>
      <w:r w:rsidR="00792071">
        <w:t>visie</w:t>
      </w:r>
      <w:r>
        <w:t>nota beschrijft de</w:t>
      </w:r>
      <w:r w:rsidR="00222236">
        <w:t xml:space="preserve"> </w:t>
      </w:r>
      <w:r>
        <w:t xml:space="preserve">voorgenomen </w:t>
      </w:r>
      <w:r w:rsidR="0050487A">
        <w:t xml:space="preserve">acties rond </w:t>
      </w:r>
      <w:r w:rsidR="00222236">
        <w:t>de transitie naar meer vraaggestuurd</w:t>
      </w:r>
      <w:r w:rsidR="000213F6">
        <w:t>e</w:t>
      </w:r>
      <w:r w:rsidR="00222236">
        <w:t xml:space="preserve"> zorg en ondersteuning</w:t>
      </w:r>
      <w:r w:rsidR="0050487A">
        <w:t>, met de strategische doelstelling</w:t>
      </w:r>
      <w:r w:rsidR="009504BC">
        <w:t>en</w:t>
      </w:r>
      <w:r w:rsidR="0050487A">
        <w:t xml:space="preserve"> om enerzijds te komen tot zorggarantie voor personen met de grootste ondersteuningsnood en anderzijds werk te maken van het garanderen van vraaggestuurde ondersteuning van </w:t>
      </w:r>
      <w:r w:rsidR="00F774D0">
        <w:t>geïnformeerde</w:t>
      </w:r>
      <w:r w:rsidR="0050487A">
        <w:t xml:space="preserve"> gebruikers </w:t>
      </w:r>
      <w:r>
        <w:t>in een maximaal inclusieve samenleving.</w:t>
      </w:r>
      <w:r w:rsidR="005053E8">
        <w:t xml:space="preserve"> </w:t>
      </w:r>
      <w:r w:rsidR="000A1A2E">
        <w:t xml:space="preserve">Het voorontwerp van decreet streeft deze </w:t>
      </w:r>
      <w:r w:rsidR="00831A32">
        <w:t xml:space="preserve">beide </w:t>
      </w:r>
      <w:r w:rsidR="000A1A2E">
        <w:t>strategische doelstellingen</w:t>
      </w:r>
      <w:r w:rsidR="00BC6DBA">
        <w:t xml:space="preserve"> mee</w:t>
      </w:r>
      <w:r w:rsidR="000A1A2E">
        <w:t xml:space="preserve"> na door te voorzien in </w:t>
      </w:r>
      <w:r w:rsidR="00831A32">
        <w:t>een nieuw financieringssysteem.</w:t>
      </w:r>
    </w:p>
    <w:p w:rsidR="00DC0449" w:rsidRPr="00F96177" w:rsidRDefault="0029092A" w:rsidP="001F55E7">
      <w:pPr>
        <w:rPr>
          <w:rFonts w:cstheme="minorHAnsi"/>
        </w:rPr>
      </w:pPr>
      <w:r w:rsidRPr="0029092A">
        <w:t xml:space="preserve">In de uitwerking van onderhavig </w:t>
      </w:r>
      <w:r w:rsidR="00DC0449">
        <w:t xml:space="preserve">advies </w:t>
      </w:r>
      <w:r w:rsidRPr="00F96177">
        <w:rPr>
          <w:rFonts w:cstheme="minorHAnsi"/>
        </w:rPr>
        <w:t xml:space="preserve">belichten we het VN-verdrag </w:t>
      </w:r>
      <w:r w:rsidR="00DC0449">
        <w:rPr>
          <w:rFonts w:cstheme="minorHAnsi"/>
        </w:rPr>
        <w:t xml:space="preserve">eerst </w:t>
      </w:r>
      <w:r w:rsidRPr="00F96177">
        <w:rPr>
          <w:rFonts w:cstheme="minorHAnsi"/>
        </w:rPr>
        <w:t>in zijn algemeenheid en staan we stil bij binnen het kader van het voorliggende ontwerp van decreet bijzonder relevante artikelen</w:t>
      </w:r>
      <w:r w:rsidR="00BC6DBA" w:rsidRPr="00F96177">
        <w:rPr>
          <w:rFonts w:cstheme="minorHAnsi"/>
        </w:rPr>
        <w:t xml:space="preserve">. </w:t>
      </w:r>
      <w:r w:rsidR="00417504">
        <w:rPr>
          <w:rFonts w:cstheme="minorHAnsi"/>
        </w:rPr>
        <w:t xml:space="preserve">We staan ook stil bij reeds </w:t>
      </w:r>
      <w:r w:rsidR="00792071" w:rsidRPr="00F96177">
        <w:rPr>
          <w:rFonts w:cstheme="minorHAnsi"/>
        </w:rPr>
        <w:t>uitgebrachte adviezen van het VN-comité inzake de rechten van personen met een handicap</w:t>
      </w:r>
      <w:r w:rsidR="00831A32">
        <w:rPr>
          <w:rFonts w:cstheme="minorHAnsi"/>
        </w:rPr>
        <w:t xml:space="preserve"> en</w:t>
      </w:r>
      <w:r w:rsidR="00417504">
        <w:rPr>
          <w:rFonts w:cstheme="minorHAnsi"/>
        </w:rPr>
        <w:t xml:space="preserve"> bij</w:t>
      </w:r>
      <w:r w:rsidR="00831A32">
        <w:rPr>
          <w:rFonts w:cstheme="minorHAnsi"/>
        </w:rPr>
        <w:t xml:space="preserve"> de veroordeling van België en haar deelgebieden door het Europees Comité voor de sociale rechten</w:t>
      </w:r>
      <w:r w:rsidR="00792071" w:rsidRPr="00F96177">
        <w:rPr>
          <w:rFonts w:cstheme="minorHAnsi"/>
        </w:rPr>
        <w:t>.</w:t>
      </w:r>
    </w:p>
    <w:p w:rsidR="0029092A" w:rsidRPr="00942D5D" w:rsidRDefault="0029092A" w:rsidP="001F55E7">
      <w:pPr>
        <w:rPr>
          <w:rFonts w:cstheme="minorHAnsi"/>
        </w:rPr>
      </w:pPr>
      <w:r w:rsidRPr="00942D5D">
        <w:rPr>
          <w:rFonts w:cstheme="minorHAnsi"/>
        </w:rPr>
        <w:lastRenderedPageBreak/>
        <w:t>Vanuit dit theoretisch kader</w:t>
      </w:r>
      <w:r w:rsidR="00792071" w:rsidRPr="007B280A">
        <w:rPr>
          <w:rFonts w:cstheme="minorHAnsi"/>
        </w:rPr>
        <w:t xml:space="preserve"> </w:t>
      </w:r>
      <w:r w:rsidR="0050068A">
        <w:rPr>
          <w:rFonts w:cstheme="minorHAnsi"/>
        </w:rPr>
        <w:t xml:space="preserve">formuleren we </w:t>
      </w:r>
      <w:r w:rsidR="0050068A" w:rsidRPr="00942D5D">
        <w:rPr>
          <w:rFonts w:cstheme="minorHAnsi"/>
        </w:rPr>
        <w:t xml:space="preserve">opmerkingen </w:t>
      </w:r>
      <w:r w:rsidR="0050068A" w:rsidRPr="007B280A">
        <w:rPr>
          <w:rFonts w:cstheme="minorHAnsi"/>
        </w:rPr>
        <w:t xml:space="preserve">en bedenkingen </w:t>
      </w:r>
      <w:r w:rsidR="0050068A">
        <w:rPr>
          <w:rFonts w:cstheme="minorHAnsi"/>
        </w:rPr>
        <w:t>bij</w:t>
      </w:r>
      <w:r w:rsidR="0050068A" w:rsidRPr="007B280A">
        <w:rPr>
          <w:rFonts w:cstheme="minorHAnsi"/>
        </w:rPr>
        <w:t xml:space="preserve"> </w:t>
      </w:r>
      <w:r w:rsidRPr="007B280A">
        <w:rPr>
          <w:rFonts w:cstheme="minorHAnsi"/>
        </w:rPr>
        <w:t xml:space="preserve">het voorontwerp van </w:t>
      </w:r>
      <w:r w:rsidR="00417504">
        <w:rPr>
          <w:rFonts w:cstheme="minorHAnsi"/>
        </w:rPr>
        <w:t>decreet</w:t>
      </w:r>
      <w:r w:rsidRPr="007B280A">
        <w:rPr>
          <w:rFonts w:cstheme="minorHAnsi"/>
        </w:rPr>
        <w:t>.</w:t>
      </w:r>
    </w:p>
    <w:p w:rsidR="0029092A" w:rsidRDefault="00353608" w:rsidP="00D12F11">
      <w:pPr>
        <w:pStyle w:val="Kop2"/>
      </w:pPr>
      <w:r>
        <w:rPr>
          <w:caps w:val="0"/>
        </w:rPr>
        <w:t>THEORETISCH KADER</w:t>
      </w:r>
    </w:p>
    <w:p w:rsidR="00C555C0" w:rsidRDefault="00353608" w:rsidP="00C555C0">
      <w:pPr>
        <w:pStyle w:val="Kop3"/>
      </w:pPr>
      <w:r>
        <w:rPr>
          <w:caps w:val="0"/>
        </w:rPr>
        <w:t>ALGEMEEN</w:t>
      </w:r>
    </w:p>
    <w:p w:rsidR="008657D3" w:rsidRDefault="00A126E8" w:rsidP="00D12F11">
      <w:r>
        <w:t xml:space="preserve">Het VN-verdrag inzake de rechten van personen met een handicap </w:t>
      </w:r>
      <w:r w:rsidR="00434627">
        <w:t xml:space="preserve">(hierna VN-verdrag) </w:t>
      </w:r>
      <w:r>
        <w:t>werd goedgekeurd door de Algemene Vergadering van de Verenigde Naties op 13 december 2006 en geratificeerd door België en de gemeenschappen en gewesten in juli 2009.</w:t>
      </w:r>
    </w:p>
    <w:p w:rsidR="009A15AD" w:rsidRDefault="008657D3" w:rsidP="00D12F11">
      <w:r>
        <w:t xml:space="preserve">Het </w:t>
      </w:r>
      <w:r w:rsidR="00FD3663">
        <w:t>verdrag sluit aan bij de tijdens de laatste decennia ontstane</w:t>
      </w:r>
      <w:r w:rsidR="00B74462">
        <w:t xml:space="preserve"> tendens </w:t>
      </w:r>
      <w:r w:rsidR="00A126E8">
        <w:t xml:space="preserve">om mensen met een handicap niet langer </w:t>
      </w:r>
      <w:r w:rsidR="00B74462">
        <w:t xml:space="preserve">vooral </w:t>
      </w:r>
      <w:r w:rsidR="00A126E8">
        <w:t>te benadere</w:t>
      </w:r>
      <w:r w:rsidR="00E62679">
        <w:t>n vanuit een medische visie</w:t>
      </w:r>
      <w:r w:rsidR="00A126E8">
        <w:t xml:space="preserve"> en te zien als subjecten v</w:t>
      </w:r>
      <w:r>
        <w:t xml:space="preserve">an zorg, sociale bescherming en liefdadigheid maar als volwaardige burgers met rechten en plichten. Het verdrag is de vertaling van de zogenaamde sociaal-culturele visie op handicap, waarbij handicap gedefinieerd wordt als het gevolg van de interactie tussen </w:t>
      </w:r>
      <w:r w:rsidR="009B01D7">
        <w:t xml:space="preserve">aan de ene kant </w:t>
      </w:r>
      <w:r>
        <w:t>iemands fysieke, sensori</w:t>
      </w:r>
      <w:r w:rsidR="00434627">
        <w:t>ë</w:t>
      </w:r>
      <w:r>
        <w:t xml:space="preserve">le, verstandelijke en psychische </w:t>
      </w:r>
      <w:r w:rsidR="009B01D7">
        <w:t xml:space="preserve">beperkingen en </w:t>
      </w:r>
      <w:r w:rsidR="006659AF">
        <w:t>aan de andere kant</w:t>
      </w:r>
      <w:r w:rsidR="00973355">
        <w:t xml:space="preserve"> de diverse drempels die een onaangepaste maatschappij stelt,</w:t>
      </w:r>
      <w:r w:rsidR="006659AF">
        <w:t xml:space="preserve"> </w:t>
      </w:r>
      <w:r w:rsidR="00B74462">
        <w:t>welke</w:t>
      </w:r>
      <w:r w:rsidR="009B01D7">
        <w:t xml:space="preserve"> volwaardige </w:t>
      </w:r>
      <w:r w:rsidR="006659AF">
        <w:t>participatie op voet van gelijkheid me</w:t>
      </w:r>
      <w:r w:rsidR="00D12F11">
        <w:t xml:space="preserve">t anderen </w:t>
      </w:r>
      <w:r w:rsidR="00CE1A55">
        <w:t>hinderen</w:t>
      </w:r>
      <w:r w:rsidR="00D12F11">
        <w:t>.</w:t>
      </w:r>
    </w:p>
    <w:p w:rsidR="00D12F11" w:rsidRDefault="00CE1A55" w:rsidP="00D12F11">
      <w:r>
        <w:t xml:space="preserve">Belangrijke principes van het verdrag zijn </w:t>
      </w:r>
      <w:r w:rsidR="00D41BF0">
        <w:t xml:space="preserve">onder </w:t>
      </w:r>
      <w:r w:rsidR="00D66F85">
        <w:t xml:space="preserve">meer </w:t>
      </w:r>
      <w:r w:rsidR="00D12F11">
        <w:t>respect voor de persoonlijke autonomie</w:t>
      </w:r>
      <w:r>
        <w:t xml:space="preserve"> en de menselijke waardigheid</w:t>
      </w:r>
      <w:r w:rsidR="00A95844">
        <w:t xml:space="preserve"> en</w:t>
      </w:r>
      <w:r w:rsidR="00417504">
        <w:t xml:space="preserve"> </w:t>
      </w:r>
      <w:r w:rsidR="00D12F11">
        <w:t xml:space="preserve">het recht </w:t>
      </w:r>
      <w:r w:rsidR="005B4118">
        <w:t xml:space="preserve">om </w:t>
      </w:r>
      <w:r w:rsidR="00D12F11">
        <w:t>eigen keuzes te maken</w:t>
      </w:r>
      <w:r>
        <w:t>. Ze</w:t>
      </w:r>
      <w:r w:rsidR="00D12F11">
        <w:t xml:space="preserve"> zijn bijzonder belangrijk in het kader van voorliggend </w:t>
      </w:r>
      <w:r>
        <w:t xml:space="preserve">ontwerp van </w:t>
      </w:r>
      <w:r w:rsidR="00D12F11">
        <w:t>decreet.</w:t>
      </w:r>
    </w:p>
    <w:p w:rsidR="00CE1A55" w:rsidRDefault="00353608" w:rsidP="00405493">
      <w:pPr>
        <w:pStyle w:val="Kop3"/>
      </w:pPr>
      <w:r>
        <w:rPr>
          <w:caps w:val="0"/>
        </w:rPr>
        <w:t>RELEVANTE ARTIKELEN</w:t>
      </w:r>
    </w:p>
    <w:p w:rsidR="00D12F11" w:rsidRPr="00D66F85" w:rsidRDefault="00094EB9" w:rsidP="00D66F85">
      <w:pPr>
        <w:pStyle w:val="Kop4"/>
      </w:pPr>
      <w:r w:rsidRPr="00D66F85">
        <w:t>Artikel 12</w:t>
      </w:r>
      <w:r w:rsidR="00D66F85">
        <w:t>: gelijkheid voor de wet</w:t>
      </w:r>
    </w:p>
    <w:p w:rsidR="00AE1B05" w:rsidRDefault="00094EB9" w:rsidP="00405493">
      <w:r w:rsidRPr="00405493">
        <w:t xml:space="preserve">Op grond van artikel 12 dienen </w:t>
      </w:r>
      <w:r w:rsidR="007A55E7">
        <w:t xml:space="preserve">verdragsluitende </w:t>
      </w:r>
      <w:r w:rsidRPr="00405493">
        <w:t xml:space="preserve">staten maatregelen te nemen om te bevestigen dat personen met een handicap overal als persoon erkend worden voor de wet. Daarenboven dienen staten te erkennen dat personen met een handicap op voet van gelijkheid met anderen in alle aspecten van het leven rechtsbekwaam zijn. Indien </w:t>
      </w:r>
      <w:r w:rsidR="00405493" w:rsidRPr="00405493">
        <w:t>ondersteuning</w:t>
      </w:r>
      <w:r w:rsidRPr="00405493">
        <w:t xml:space="preserve"> nodig is om de rechtsbekwaamheid uit te oefenen dient </w:t>
      </w:r>
      <w:r w:rsidR="002460CD">
        <w:t xml:space="preserve">passende </w:t>
      </w:r>
      <w:r w:rsidRPr="00405493">
        <w:t xml:space="preserve">ondersteuning voorzien te worden. </w:t>
      </w:r>
      <w:r w:rsidR="00405493" w:rsidRPr="00405493">
        <w:t>M</w:t>
      </w:r>
      <w:r w:rsidRPr="00405493">
        <w:t>aatregelen in verband met d</w:t>
      </w:r>
      <w:r w:rsidR="00405493" w:rsidRPr="00405493">
        <w:t xml:space="preserve">e inperking van de rechtsbekwaamheid dienen proportioneel te zijn, onderworpen te zijn aan </w:t>
      </w:r>
      <w:r w:rsidR="00434627">
        <w:t xml:space="preserve">(periodieke) </w:t>
      </w:r>
      <w:r w:rsidR="00405493" w:rsidRPr="00405493">
        <w:t xml:space="preserve">rechterlijke toetsing en </w:t>
      </w:r>
      <w:r w:rsidR="00405493">
        <w:t>beperkt te worden</w:t>
      </w:r>
      <w:r w:rsidR="00405493" w:rsidRPr="00405493">
        <w:t xml:space="preserve"> in de tijd</w:t>
      </w:r>
      <w:r w:rsidR="00405493">
        <w:t>. Er moet maximale ruimte blijven voor</w:t>
      </w:r>
      <w:r w:rsidR="00C555C0">
        <w:t xml:space="preserve"> het kunnen uiten van de eigen wil en voorkeuren.</w:t>
      </w:r>
    </w:p>
    <w:p w:rsidR="00AE1B05" w:rsidRDefault="00AE1B05">
      <w:pPr>
        <w:jc w:val="left"/>
      </w:pPr>
      <w:r>
        <w:br w:type="page"/>
      </w:r>
    </w:p>
    <w:p w:rsidR="00275692" w:rsidRPr="00D66F85" w:rsidRDefault="00275692" w:rsidP="00D66F85">
      <w:pPr>
        <w:pStyle w:val="Kop4"/>
      </w:pPr>
      <w:r w:rsidRPr="00D66F85">
        <w:lastRenderedPageBreak/>
        <w:t>ARTIKEL 19</w:t>
      </w:r>
      <w:r w:rsidR="00D41BF0">
        <w:rPr>
          <w:rStyle w:val="Voetnootmarkering"/>
        </w:rPr>
        <w:footnoteReference w:id="1"/>
      </w:r>
      <w:r w:rsidR="00FD3663">
        <w:t xml:space="preserve">: </w:t>
      </w:r>
      <w:r w:rsidR="00FD3663" w:rsidRPr="00FD3663">
        <w:t>Zelfstandig wonen en deel uitmaken van de maatschappij</w:t>
      </w:r>
    </w:p>
    <w:p w:rsidR="002202CE" w:rsidRDefault="002202CE" w:rsidP="002202CE">
      <w:pPr>
        <w:spacing w:before="120" w:after="120"/>
        <w:rPr>
          <w:rFonts w:cstheme="minorHAnsi"/>
          <w:lang w:val="nl-BE"/>
        </w:rPr>
      </w:pPr>
      <w:r>
        <w:rPr>
          <w:rFonts w:cstheme="minorHAnsi"/>
          <w:lang w:val="nl-BE"/>
        </w:rPr>
        <w:t>De algemene doelstelling van artikel 19 is</w:t>
      </w:r>
      <w:r w:rsidR="00D66F85">
        <w:rPr>
          <w:rFonts w:cstheme="minorHAnsi"/>
          <w:lang w:val="nl-BE"/>
        </w:rPr>
        <w:t xml:space="preserve"> het recht te erkennen </w:t>
      </w:r>
      <w:r w:rsidR="00A95844">
        <w:rPr>
          <w:rFonts w:cstheme="minorHAnsi"/>
          <w:lang w:val="nl-BE"/>
        </w:rPr>
        <w:t xml:space="preserve">voor </w:t>
      </w:r>
      <w:r w:rsidR="00D66F85">
        <w:rPr>
          <w:rFonts w:cstheme="minorHAnsi"/>
          <w:lang w:val="nl-BE"/>
        </w:rPr>
        <w:t xml:space="preserve">alle personen met een handicap </w:t>
      </w:r>
      <w:r w:rsidR="008B6C7B">
        <w:rPr>
          <w:rFonts w:cstheme="minorHAnsi"/>
          <w:lang w:val="nl-BE"/>
        </w:rPr>
        <w:t>om op grond van gelijkheid met anderen in de maatschappij te wonen en volledig deel te nemen</w:t>
      </w:r>
      <w:r w:rsidR="00C6266D">
        <w:rPr>
          <w:rFonts w:cstheme="minorHAnsi"/>
          <w:lang w:val="nl-BE"/>
        </w:rPr>
        <w:t xml:space="preserve"> aan</w:t>
      </w:r>
      <w:r w:rsidR="008B6C7B">
        <w:rPr>
          <w:rFonts w:cstheme="minorHAnsi"/>
          <w:lang w:val="nl-BE"/>
        </w:rPr>
        <w:t xml:space="preserve"> en deel uit te maken van de maatschappij</w:t>
      </w:r>
      <w:r>
        <w:rPr>
          <w:rFonts w:cstheme="minorHAnsi"/>
          <w:lang w:val="nl-BE"/>
        </w:rPr>
        <w:t>.</w:t>
      </w:r>
    </w:p>
    <w:p w:rsidR="00D41BF0" w:rsidRDefault="002202CE" w:rsidP="002202CE">
      <w:pPr>
        <w:spacing w:before="120" w:after="120"/>
        <w:rPr>
          <w:rFonts w:cstheme="minorHAnsi"/>
          <w:lang w:val="nl-BE"/>
        </w:rPr>
      </w:pPr>
      <w:r>
        <w:rPr>
          <w:rFonts w:cstheme="minorHAnsi"/>
          <w:lang w:val="nl-BE"/>
        </w:rPr>
        <w:t xml:space="preserve">De drie centrale </w:t>
      </w:r>
      <w:r w:rsidR="008B6C7B">
        <w:rPr>
          <w:rFonts w:cstheme="minorHAnsi"/>
          <w:lang w:val="nl-BE"/>
        </w:rPr>
        <w:t>maatregelen</w:t>
      </w:r>
      <w:r>
        <w:rPr>
          <w:rFonts w:cstheme="minorHAnsi"/>
          <w:lang w:val="nl-BE"/>
        </w:rPr>
        <w:t xml:space="preserve"> </w:t>
      </w:r>
      <w:r w:rsidR="008B6C7B">
        <w:rPr>
          <w:rFonts w:cstheme="minorHAnsi"/>
          <w:lang w:val="nl-BE"/>
        </w:rPr>
        <w:t>hiertoe</w:t>
      </w:r>
      <w:r w:rsidR="00D41BF0">
        <w:rPr>
          <w:rFonts w:cstheme="minorHAnsi"/>
          <w:lang w:val="nl-BE"/>
        </w:rPr>
        <w:t xml:space="preserve"> binnen artikel 19 zijn</w:t>
      </w:r>
      <w:r w:rsidR="006D41CF">
        <w:rPr>
          <w:rFonts w:cstheme="minorHAnsi"/>
          <w:lang w:val="nl-BE"/>
        </w:rPr>
        <w:t>:</w:t>
      </w:r>
    </w:p>
    <w:p w:rsidR="00D41BF0" w:rsidRPr="00D41BF0" w:rsidRDefault="002202CE" w:rsidP="00D41BF0">
      <w:pPr>
        <w:pStyle w:val="Lijstalinea"/>
        <w:numPr>
          <w:ilvl w:val="0"/>
          <w:numId w:val="4"/>
        </w:numPr>
        <w:spacing w:before="120" w:after="120"/>
        <w:rPr>
          <w:rFonts w:cstheme="minorHAnsi"/>
        </w:rPr>
      </w:pPr>
      <w:r w:rsidRPr="00D41BF0">
        <w:rPr>
          <w:rFonts w:cstheme="minorHAnsi"/>
        </w:rPr>
        <w:t xml:space="preserve">het voorzien van </w:t>
      </w:r>
      <w:r w:rsidR="00412473" w:rsidRPr="00D41BF0">
        <w:rPr>
          <w:rFonts w:cstheme="minorHAnsi"/>
        </w:rPr>
        <w:t xml:space="preserve">maximale </w:t>
      </w:r>
      <w:r w:rsidRPr="00D41BF0">
        <w:rPr>
          <w:rFonts w:cstheme="minorHAnsi"/>
        </w:rPr>
        <w:t>keuze van verblijfplaats en leefregeli</w:t>
      </w:r>
      <w:r w:rsidR="00D41BF0" w:rsidRPr="00D41BF0">
        <w:rPr>
          <w:rFonts w:cstheme="minorHAnsi"/>
        </w:rPr>
        <w:t>ng (artikel 19 a.)</w:t>
      </w:r>
    </w:p>
    <w:p w:rsidR="00D41BF0" w:rsidRPr="00D41BF0" w:rsidRDefault="002202CE" w:rsidP="00D41BF0">
      <w:pPr>
        <w:pStyle w:val="Lijstalinea"/>
        <w:numPr>
          <w:ilvl w:val="0"/>
          <w:numId w:val="4"/>
        </w:numPr>
        <w:spacing w:before="120" w:after="120"/>
        <w:rPr>
          <w:rFonts w:cstheme="minorHAnsi"/>
        </w:rPr>
      </w:pPr>
      <w:r w:rsidRPr="00D41BF0">
        <w:rPr>
          <w:rFonts w:cstheme="minorHAnsi"/>
        </w:rPr>
        <w:t>toegang verlenen tot een waaier van ondersteuningmogelijkheden</w:t>
      </w:r>
      <w:r w:rsidR="00434627">
        <w:rPr>
          <w:rStyle w:val="Voetnootmarkering"/>
          <w:rFonts w:cstheme="minorHAnsi"/>
        </w:rPr>
        <w:footnoteReference w:id="2"/>
      </w:r>
      <w:r w:rsidRPr="00D41BF0">
        <w:rPr>
          <w:rFonts w:cstheme="minorHAnsi"/>
        </w:rPr>
        <w:t>, met inbegrip van persoonlijke assistentie (artikel 19</w:t>
      </w:r>
      <w:r w:rsidR="00741E77" w:rsidRPr="00D41BF0">
        <w:rPr>
          <w:rFonts w:cstheme="minorHAnsi"/>
        </w:rPr>
        <w:t xml:space="preserve"> </w:t>
      </w:r>
      <w:r w:rsidRPr="00D41BF0">
        <w:rPr>
          <w:rFonts w:cstheme="minorHAnsi"/>
        </w:rPr>
        <w:t>b</w:t>
      </w:r>
      <w:r w:rsidR="00741E77" w:rsidRPr="00D41BF0">
        <w:rPr>
          <w:rFonts w:cstheme="minorHAnsi"/>
        </w:rPr>
        <w:t>.</w:t>
      </w:r>
      <w:r w:rsidR="00D41BF0" w:rsidRPr="00D41BF0">
        <w:rPr>
          <w:rFonts w:cstheme="minorHAnsi"/>
        </w:rPr>
        <w:t>)</w:t>
      </w:r>
      <w:r w:rsidR="00D41BF0">
        <w:rPr>
          <w:rFonts w:cstheme="minorHAnsi"/>
        </w:rPr>
        <w:t xml:space="preserve">. </w:t>
      </w:r>
      <w:r w:rsidR="00D41BF0" w:rsidRPr="00D41BF0">
        <w:rPr>
          <w:rFonts w:cstheme="minorHAnsi"/>
        </w:rPr>
        <w:t xml:space="preserve">Toegang hebben </w:t>
      </w:r>
      <w:r w:rsidR="006D41CF">
        <w:rPr>
          <w:rFonts w:cstheme="minorHAnsi"/>
        </w:rPr>
        <w:t xml:space="preserve">tot ondersteuning </w:t>
      </w:r>
      <w:r w:rsidR="00D41BF0" w:rsidRPr="00D41BF0">
        <w:rPr>
          <w:rFonts w:cstheme="minorHAnsi"/>
        </w:rPr>
        <w:t xml:space="preserve">veronderstelt (in hoofde van de overheid) dat ondersteuningsdiensten voorhanden, afdwingbaar en beschikbaar zijn voor elke persoon met handicap welke deze nodig heeft </w:t>
      </w:r>
      <w:r w:rsidR="006D41CF">
        <w:rPr>
          <w:rFonts w:cstheme="minorHAnsi"/>
        </w:rPr>
        <w:t>om</w:t>
      </w:r>
      <w:r w:rsidR="00D41BF0" w:rsidRPr="00D41BF0">
        <w:rPr>
          <w:rFonts w:cstheme="minorHAnsi"/>
        </w:rPr>
        <w:t xml:space="preserve"> maatschappelijke </w:t>
      </w:r>
      <w:r w:rsidR="006D41CF">
        <w:rPr>
          <w:rFonts w:cstheme="minorHAnsi"/>
        </w:rPr>
        <w:t xml:space="preserve">participatie en </w:t>
      </w:r>
      <w:r w:rsidR="00D41BF0" w:rsidRPr="00D41BF0">
        <w:rPr>
          <w:rFonts w:cstheme="minorHAnsi"/>
        </w:rPr>
        <w:t>uitsluiting en isolement tegen te gaan.</w:t>
      </w:r>
    </w:p>
    <w:p w:rsidR="002202CE" w:rsidRPr="00D41BF0" w:rsidRDefault="002202CE" w:rsidP="00D41BF0">
      <w:pPr>
        <w:pStyle w:val="Lijstalinea"/>
        <w:numPr>
          <w:ilvl w:val="0"/>
          <w:numId w:val="4"/>
        </w:numPr>
        <w:spacing w:before="120" w:after="120"/>
        <w:rPr>
          <w:rFonts w:cstheme="minorHAnsi"/>
        </w:rPr>
      </w:pPr>
      <w:r w:rsidRPr="00D41BF0">
        <w:rPr>
          <w:rFonts w:cstheme="minorHAnsi"/>
        </w:rPr>
        <w:t xml:space="preserve">algemene </w:t>
      </w:r>
      <w:r w:rsidR="00E047B9">
        <w:rPr>
          <w:rFonts w:cstheme="minorHAnsi"/>
        </w:rPr>
        <w:t>maatschappelijke dienstverlening</w:t>
      </w:r>
      <w:r w:rsidRPr="00D41BF0">
        <w:rPr>
          <w:rFonts w:cstheme="minorHAnsi"/>
        </w:rPr>
        <w:t xml:space="preserve"> </w:t>
      </w:r>
      <w:r w:rsidR="00D41BF0" w:rsidRPr="00D41BF0">
        <w:rPr>
          <w:rFonts w:cstheme="minorHAnsi"/>
        </w:rPr>
        <w:t xml:space="preserve">steeds verder </w:t>
      </w:r>
      <w:r w:rsidRPr="00D41BF0">
        <w:rPr>
          <w:rFonts w:cstheme="minorHAnsi"/>
        </w:rPr>
        <w:t xml:space="preserve">toegankelijk maken voor personen </w:t>
      </w:r>
      <w:r w:rsidR="003C7A79" w:rsidRPr="00D41BF0">
        <w:rPr>
          <w:rFonts w:cstheme="minorHAnsi"/>
        </w:rPr>
        <w:t>met een handicap (artikel 19</w:t>
      </w:r>
      <w:r w:rsidR="00741E77" w:rsidRPr="00D41BF0">
        <w:rPr>
          <w:rFonts w:cstheme="minorHAnsi"/>
        </w:rPr>
        <w:t xml:space="preserve"> </w:t>
      </w:r>
      <w:r w:rsidR="003C7A79" w:rsidRPr="00D41BF0">
        <w:rPr>
          <w:rFonts w:cstheme="minorHAnsi"/>
        </w:rPr>
        <w:t>c</w:t>
      </w:r>
      <w:r w:rsidR="00741E77" w:rsidRPr="00D41BF0">
        <w:rPr>
          <w:rFonts w:cstheme="minorHAnsi"/>
        </w:rPr>
        <w:t>.</w:t>
      </w:r>
      <w:r w:rsidR="003C7A79" w:rsidRPr="00D41BF0">
        <w:rPr>
          <w:rFonts w:cstheme="minorHAnsi"/>
        </w:rPr>
        <w:t>).</w:t>
      </w:r>
      <w:r w:rsidR="00D41BF0" w:rsidRPr="00D41BF0">
        <w:rPr>
          <w:rFonts w:cstheme="minorHAnsi"/>
        </w:rPr>
        <w:t xml:space="preserve"> Een belangrijk element in het bijdragen van inclusie in de maatschappij is het inclusieve karakter waarborgen van algemeen beschikbare publieke dienstverlening (zoals </w:t>
      </w:r>
      <w:r w:rsidR="00434627">
        <w:rPr>
          <w:rFonts w:cstheme="minorHAnsi"/>
        </w:rPr>
        <w:t>huisvesting</w:t>
      </w:r>
      <w:r w:rsidR="00D41BF0" w:rsidRPr="00D41BF0">
        <w:rPr>
          <w:rFonts w:cstheme="minorHAnsi"/>
        </w:rPr>
        <w:t>).</w:t>
      </w:r>
    </w:p>
    <w:p w:rsidR="00CD4B3B" w:rsidRPr="00CD4B3B" w:rsidRDefault="00A95844" w:rsidP="00CD4B3B">
      <w:pPr>
        <w:pStyle w:val="Kop5"/>
      </w:pPr>
      <w:r>
        <w:t xml:space="preserve">AFDWINGBAARHEID VAN </w:t>
      </w:r>
      <w:r w:rsidR="00204987">
        <w:t>DE VERPLICHTINGEN DIE RUSTEN OP DE VERDRAGSLUITENDE STATEN INGEVOLGE ARTIKEL 19</w:t>
      </w:r>
    </w:p>
    <w:p w:rsidR="00C65332" w:rsidRPr="00C65332" w:rsidRDefault="00C65332" w:rsidP="00C65332">
      <w:pPr>
        <w:spacing w:before="120" w:after="120"/>
        <w:rPr>
          <w:rFonts w:cstheme="minorHAnsi"/>
          <w:lang w:val="nl-BE"/>
        </w:rPr>
      </w:pPr>
      <w:r w:rsidRPr="00C65332">
        <w:rPr>
          <w:rFonts w:cstheme="minorHAnsi"/>
          <w:lang w:val="nl-BE"/>
        </w:rPr>
        <w:t xml:space="preserve">De verplichtingen die rusten op de verdragsluitende staten ingevolge artikel 19 zijn niet zonder meer </w:t>
      </w:r>
      <w:r w:rsidR="00143369">
        <w:rPr>
          <w:rFonts w:cstheme="minorHAnsi"/>
          <w:lang w:val="nl-BE"/>
        </w:rPr>
        <w:t xml:space="preserve">meteen </w:t>
      </w:r>
      <w:r w:rsidRPr="00C65332">
        <w:rPr>
          <w:rFonts w:cstheme="minorHAnsi"/>
          <w:lang w:val="nl-BE"/>
        </w:rPr>
        <w:t>afdwingbaar.</w:t>
      </w:r>
    </w:p>
    <w:p w:rsidR="00C65332" w:rsidRPr="00C65332" w:rsidRDefault="00C65332" w:rsidP="00C65332">
      <w:pPr>
        <w:spacing w:before="120" w:after="120"/>
        <w:rPr>
          <w:rFonts w:cstheme="minorHAnsi"/>
          <w:lang w:val="nl-BE"/>
        </w:rPr>
      </w:pPr>
      <w:r w:rsidRPr="00C65332">
        <w:rPr>
          <w:rFonts w:cstheme="minorHAnsi"/>
          <w:lang w:val="nl-BE"/>
        </w:rPr>
        <w:t xml:space="preserve">Het artikel 19 van het VN-verdrag is een hybride verdragsartikel en </w:t>
      </w:r>
      <w:r w:rsidR="000213F6">
        <w:rPr>
          <w:rFonts w:cstheme="minorHAnsi"/>
          <w:lang w:val="nl-BE"/>
        </w:rPr>
        <w:t>bestaat</w:t>
      </w:r>
      <w:r w:rsidR="000213F6" w:rsidRPr="00C65332">
        <w:rPr>
          <w:rFonts w:cstheme="minorHAnsi"/>
          <w:lang w:val="nl-BE"/>
        </w:rPr>
        <w:t xml:space="preserve"> </w:t>
      </w:r>
      <w:r w:rsidR="00434627">
        <w:rPr>
          <w:rFonts w:cstheme="minorHAnsi"/>
          <w:lang w:val="nl-BE"/>
        </w:rPr>
        <w:t>al</w:t>
      </w:r>
      <w:r w:rsidR="000213F6">
        <w:rPr>
          <w:rFonts w:cstheme="minorHAnsi"/>
          <w:lang w:val="nl-BE"/>
        </w:rPr>
        <w:t>s</w:t>
      </w:r>
      <w:r w:rsidR="00434627">
        <w:rPr>
          <w:rFonts w:cstheme="minorHAnsi"/>
          <w:lang w:val="nl-BE"/>
        </w:rPr>
        <w:t xml:space="preserve"> dusdanig </w:t>
      </w:r>
      <w:r w:rsidR="00A95844">
        <w:rPr>
          <w:rFonts w:cstheme="minorHAnsi"/>
          <w:lang w:val="nl-BE"/>
        </w:rPr>
        <w:t>uit</w:t>
      </w:r>
      <w:r w:rsidR="00DC0449">
        <w:rPr>
          <w:rFonts w:cstheme="minorHAnsi"/>
          <w:lang w:val="nl-BE"/>
        </w:rPr>
        <w:t xml:space="preserve"> een samengaan van</w:t>
      </w:r>
      <w:r w:rsidRPr="00C65332">
        <w:rPr>
          <w:rFonts w:cstheme="minorHAnsi"/>
          <w:lang w:val="nl-BE"/>
        </w:rPr>
        <w:t xml:space="preserve"> burgerlijke, politieke, sociale, ec</w:t>
      </w:r>
      <w:r w:rsidR="00434627">
        <w:rPr>
          <w:rFonts w:cstheme="minorHAnsi"/>
          <w:lang w:val="nl-BE"/>
        </w:rPr>
        <w:t>onomische en culturele rechten.</w:t>
      </w:r>
    </w:p>
    <w:p w:rsidR="00C65332" w:rsidRDefault="00C65332" w:rsidP="00C65332">
      <w:pPr>
        <w:spacing w:before="120" w:after="120"/>
        <w:rPr>
          <w:rFonts w:cstheme="minorHAnsi"/>
          <w:lang w:val="nl-BE"/>
        </w:rPr>
      </w:pPr>
      <w:r w:rsidRPr="00C65332">
        <w:rPr>
          <w:rFonts w:cstheme="minorHAnsi"/>
          <w:lang w:val="nl-BE"/>
        </w:rPr>
        <w:t>Het nagaan van de aard van</w:t>
      </w:r>
      <w:r w:rsidR="00C6266D">
        <w:rPr>
          <w:rFonts w:cstheme="minorHAnsi"/>
          <w:lang w:val="nl-BE"/>
        </w:rPr>
        <w:t xml:space="preserve"> de</w:t>
      </w:r>
      <w:r w:rsidRPr="00C65332">
        <w:rPr>
          <w:rFonts w:cstheme="minorHAnsi"/>
          <w:lang w:val="nl-BE"/>
        </w:rPr>
        <w:t xml:space="preserve"> rechten in artikel 19 is belangrijk omdat de aard van de </w:t>
      </w:r>
      <w:r w:rsidR="00434627">
        <w:rPr>
          <w:rFonts w:cstheme="minorHAnsi"/>
          <w:lang w:val="nl-BE"/>
        </w:rPr>
        <w:t xml:space="preserve">beschreven </w:t>
      </w:r>
      <w:r w:rsidRPr="00C65332">
        <w:rPr>
          <w:rFonts w:cstheme="minorHAnsi"/>
          <w:lang w:val="nl-BE"/>
        </w:rPr>
        <w:t>rechten in direct verband staat met de verplichting voor de overheid om er al dan niet onmiddellijk gevolg aan te geven.</w:t>
      </w:r>
    </w:p>
    <w:p w:rsidR="00CD4B3B" w:rsidRDefault="00CD4B3B" w:rsidP="00C65332">
      <w:pPr>
        <w:spacing w:before="120" w:after="120"/>
        <w:rPr>
          <w:rFonts w:cstheme="minorHAnsi"/>
          <w:lang w:val="nl-BE"/>
        </w:rPr>
      </w:pPr>
      <w:r>
        <w:rPr>
          <w:rFonts w:cstheme="minorHAnsi"/>
          <w:lang w:val="nl-BE"/>
        </w:rPr>
        <w:t>Artikel 19</w:t>
      </w:r>
      <w:r w:rsidR="00C13BE8">
        <w:rPr>
          <w:rFonts w:cstheme="minorHAnsi"/>
          <w:lang w:val="nl-BE"/>
        </w:rPr>
        <w:t xml:space="preserve"> </w:t>
      </w:r>
      <w:r>
        <w:rPr>
          <w:rFonts w:cstheme="minorHAnsi"/>
          <w:lang w:val="nl-BE"/>
        </w:rPr>
        <w:t>a</w:t>
      </w:r>
      <w:r w:rsidR="00C13BE8">
        <w:rPr>
          <w:rFonts w:cstheme="minorHAnsi"/>
          <w:lang w:val="nl-BE"/>
        </w:rPr>
        <w:t>.</w:t>
      </w:r>
      <w:r>
        <w:rPr>
          <w:rFonts w:cstheme="minorHAnsi"/>
          <w:lang w:val="nl-BE"/>
        </w:rPr>
        <w:t xml:space="preserve"> veronderstelt (politieke en burgerlijke) rechten in verband met de zelfbeschikking om te kiezen hoe en met wie te leven. Deze vormen van rechten zijn volgens artikel 4 </w:t>
      </w:r>
      <w:r w:rsidR="000213F6">
        <w:rPr>
          <w:rFonts w:cstheme="minorHAnsi"/>
          <w:lang w:val="nl-BE"/>
        </w:rPr>
        <w:t>§</w:t>
      </w:r>
      <w:r w:rsidR="00327266">
        <w:rPr>
          <w:rFonts w:cstheme="minorHAnsi"/>
          <w:lang w:val="nl-BE"/>
        </w:rPr>
        <w:t>2</w:t>
      </w:r>
      <w:r>
        <w:rPr>
          <w:rFonts w:cstheme="minorHAnsi"/>
          <w:lang w:val="nl-BE"/>
        </w:rPr>
        <w:t xml:space="preserve"> VN-verdrag</w:t>
      </w:r>
      <w:r w:rsidR="00103CE9">
        <w:rPr>
          <w:rFonts w:cstheme="minorHAnsi"/>
          <w:lang w:val="nl-BE"/>
        </w:rPr>
        <w:t xml:space="preserve"> meteen afdwingbaar</w:t>
      </w:r>
      <w:r>
        <w:rPr>
          <w:rFonts w:cstheme="minorHAnsi"/>
          <w:lang w:val="nl-BE"/>
        </w:rPr>
        <w:t>. Dit veronderstelt</w:t>
      </w:r>
      <w:r w:rsidR="00A83ED3">
        <w:rPr>
          <w:rFonts w:cstheme="minorHAnsi"/>
          <w:lang w:val="nl-BE"/>
        </w:rPr>
        <w:t xml:space="preserve"> dus</w:t>
      </w:r>
      <w:r>
        <w:rPr>
          <w:rFonts w:cstheme="minorHAnsi"/>
          <w:lang w:val="nl-BE"/>
        </w:rPr>
        <w:t xml:space="preserve"> in hoofde van de verdragsluitende staat het onmiddellijk voorzien van wettelijke en administratieve maatregelen, teneinde </w:t>
      </w:r>
      <w:r w:rsidR="00A95844">
        <w:rPr>
          <w:rFonts w:cstheme="minorHAnsi"/>
          <w:lang w:val="nl-BE"/>
        </w:rPr>
        <w:t>de</w:t>
      </w:r>
      <w:r>
        <w:rPr>
          <w:rFonts w:cstheme="minorHAnsi"/>
          <w:lang w:val="nl-BE"/>
        </w:rPr>
        <w:t xml:space="preserve"> keuze</w:t>
      </w:r>
      <w:r w:rsidR="00A95844">
        <w:rPr>
          <w:rFonts w:cstheme="minorHAnsi"/>
          <w:lang w:val="nl-BE"/>
        </w:rPr>
        <w:t>vrijheid</w:t>
      </w:r>
      <w:r>
        <w:rPr>
          <w:rFonts w:cstheme="minorHAnsi"/>
          <w:lang w:val="nl-BE"/>
        </w:rPr>
        <w:t xml:space="preserve"> en controle te beschermen en te bevorderen</w:t>
      </w:r>
      <w:r w:rsidR="00327266">
        <w:rPr>
          <w:rFonts w:cstheme="minorHAnsi"/>
          <w:lang w:val="nl-BE"/>
        </w:rPr>
        <w:t xml:space="preserve"> [alinea’s naar Hammerberg, 2012: 20].</w:t>
      </w:r>
    </w:p>
    <w:p w:rsidR="00C6266D" w:rsidRDefault="00CD4B3B" w:rsidP="00CD4B3B">
      <w:pPr>
        <w:spacing w:before="120" w:after="120"/>
        <w:rPr>
          <w:rFonts w:cstheme="minorHAnsi"/>
          <w:lang w:val="nl-BE"/>
        </w:rPr>
      </w:pPr>
      <w:r>
        <w:rPr>
          <w:rFonts w:cstheme="minorHAnsi"/>
          <w:lang w:val="nl-BE"/>
        </w:rPr>
        <w:t>Artikel 19</w:t>
      </w:r>
      <w:r w:rsidR="00C13BE8">
        <w:rPr>
          <w:rFonts w:cstheme="minorHAnsi"/>
          <w:lang w:val="nl-BE"/>
        </w:rPr>
        <w:t xml:space="preserve"> </w:t>
      </w:r>
      <w:r>
        <w:rPr>
          <w:rFonts w:cstheme="minorHAnsi"/>
          <w:lang w:val="nl-BE"/>
        </w:rPr>
        <w:t>b</w:t>
      </w:r>
      <w:r w:rsidR="00C13BE8">
        <w:rPr>
          <w:rFonts w:cstheme="minorHAnsi"/>
          <w:lang w:val="nl-BE"/>
        </w:rPr>
        <w:t>.</w:t>
      </w:r>
      <w:r>
        <w:rPr>
          <w:rFonts w:cstheme="minorHAnsi"/>
          <w:lang w:val="nl-BE"/>
        </w:rPr>
        <w:t xml:space="preserve"> vormt een mix van economische, sociale en culturele rechten. Deze vormen van rechten zijn volgens artikel 4</w:t>
      </w:r>
      <w:r w:rsidR="00E047B9">
        <w:rPr>
          <w:rFonts w:cstheme="minorHAnsi"/>
          <w:lang w:val="nl-BE"/>
        </w:rPr>
        <w:t xml:space="preserve"> </w:t>
      </w:r>
      <w:r w:rsidR="00E115F7">
        <w:rPr>
          <w:rFonts w:cstheme="minorHAnsi"/>
          <w:lang w:val="nl-BE"/>
        </w:rPr>
        <w:t>§</w:t>
      </w:r>
      <w:r w:rsidR="00E047B9">
        <w:rPr>
          <w:rFonts w:cstheme="minorHAnsi"/>
          <w:lang w:val="nl-BE"/>
        </w:rPr>
        <w:t>2</w:t>
      </w:r>
      <w:r>
        <w:rPr>
          <w:rFonts w:cstheme="minorHAnsi"/>
          <w:lang w:val="nl-BE"/>
        </w:rPr>
        <w:t xml:space="preserve"> van het VN-verdrag vatbaar voor progressieve realisatie met </w:t>
      </w:r>
      <w:r>
        <w:rPr>
          <w:rFonts w:cstheme="minorHAnsi"/>
          <w:lang w:val="nl-BE"/>
        </w:rPr>
        <w:lastRenderedPageBreak/>
        <w:t xml:space="preserve">“volledige gebruikmaking van de </w:t>
      </w:r>
      <w:r w:rsidR="00E047B9">
        <w:rPr>
          <w:rFonts w:cstheme="minorHAnsi"/>
          <w:lang w:val="nl-BE"/>
        </w:rPr>
        <w:t>[</w:t>
      </w:r>
      <w:r>
        <w:rPr>
          <w:rFonts w:cstheme="minorHAnsi"/>
          <w:lang w:val="nl-BE"/>
        </w:rPr>
        <w:t>hem</w:t>
      </w:r>
      <w:r w:rsidR="00E047B9">
        <w:rPr>
          <w:rFonts w:cstheme="minorHAnsi"/>
          <w:lang w:val="nl-BE"/>
        </w:rPr>
        <w:t>]</w:t>
      </w:r>
      <w:r>
        <w:rPr>
          <w:rFonts w:cstheme="minorHAnsi"/>
          <w:lang w:val="nl-BE"/>
        </w:rPr>
        <w:t xml:space="preserve"> ter beschikking staande hulpbronnen”. </w:t>
      </w:r>
      <w:r w:rsidR="00E047B9">
        <w:rPr>
          <w:rFonts w:cstheme="minorHAnsi"/>
          <w:lang w:val="nl-BE"/>
        </w:rPr>
        <w:t>De kostprijs</w:t>
      </w:r>
      <w:r>
        <w:rPr>
          <w:rFonts w:cstheme="minorHAnsi"/>
          <w:lang w:val="nl-BE"/>
        </w:rPr>
        <w:t xml:space="preserve"> </w:t>
      </w:r>
      <w:r w:rsidR="00434627">
        <w:rPr>
          <w:rFonts w:cstheme="minorHAnsi"/>
          <w:lang w:val="nl-BE"/>
        </w:rPr>
        <w:t xml:space="preserve">van te nemen maatregelen </w:t>
      </w:r>
      <w:r>
        <w:rPr>
          <w:rFonts w:cstheme="minorHAnsi"/>
          <w:lang w:val="nl-BE"/>
        </w:rPr>
        <w:t xml:space="preserve">mag </w:t>
      </w:r>
      <w:r w:rsidR="00A83ED3">
        <w:rPr>
          <w:rFonts w:cstheme="minorHAnsi"/>
          <w:lang w:val="nl-BE"/>
        </w:rPr>
        <w:t xml:space="preserve">echter </w:t>
      </w:r>
      <w:r>
        <w:rPr>
          <w:rFonts w:cstheme="minorHAnsi"/>
          <w:lang w:val="nl-BE"/>
        </w:rPr>
        <w:t xml:space="preserve">geen argument zijn om de status quo te </w:t>
      </w:r>
      <w:r w:rsidR="00434627">
        <w:rPr>
          <w:rFonts w:cstheme="minorHAnsi"/>
          <w:lang w:val="nl-BE"/>
        </w:rPr>
        <w:t>handhaven</w:t>
      </w:r>
      <w:r>
        <w:rPr>
          <w:rFonts w:cstheme="minorHAnsi"/>
          <w:lang w:val="nl-BE"/>
        </w:rPr>
        <w:t>. Door het VN-</w:t>
      </w:r>
      <w:r w:rsidR="001D5058">
        <w:rPr>
          <w:rFonts w:cstheme="minorHAnsi"/>
          <w:lang w:val="nl-BE"/>
        </w:rPr>
        <w:t xml:space="preserve">verdrag </w:t>
      </w:r>
      <w:r>
        <w:rPr>
          <w:rFonts w:cstheme="minorHAnsi"/>
          <w:lang w:val="nl-BE"/>
        </w:rPr>
        <w:t xml:space="preserve">gebonden Staten moeten aantonen dat ze (meetbare en opvolgbare) inspanningen doen om de situatie jaar na jaar </w:t>
      </w:r>
      <w:r w:rsidR="00A83ED3">
        <w:rPr>
          <w:rFonts w:cstheme="minorHAnsi"/>
          <w:lang w:val="nl-BE"/>
        </w:rPr>
        <w:t xml:space="preserve">opmerkelijk </w:t>
      </w:r>
      <w:r>
        <w:rPr>
          <w:rFonts w:cstheme="minorHAnsi"/>
          <w:lang w:val="nl-BE"/>
        </w:rPr>
        <w:t>te verbeteren en ze moeten over d</w:t>
      </w:r>
      <w:r w:rsidR="001D5058">
        <w:rPr>
          <w:rFonts w:cstheme="minorHAnsi"/>
          <w:lang w:val="nl-BE"/>
        </w:rPr>
        <w:t>i</w:t>
      </w:r>
      <w:r>
        <w:rPr>
          <w:rFonts w:cstheme="minorHAnsi"/>
          <w:lang w:val="nl-BE"/>
        </w:rPr>
        <w:t xml:space="preserve">e inspanningen ook rekenschap afleggen. </w:t>
      </w:r>
    </w:p>
    <w:p w:rsidR="00CD4B3B" w:rsidRDefault="00CD4B3B" w:rsidP="00CD4B3B">
      <w:pPr>
        <w:spacing w:before="120" w:after="120"/>
        <w:rPr>
          <w:rFonts w:cstheme="minorHAnsi"/>
          <w:lang w:val="nl-BE"/>
        </w:rPr>
      </w:pPr>
      <w:r>
        <w:rPr>
          <w:rFonts w:cstheme="minorHAnsi"/>
          <w:lang w:val="nl-BE"/>
        </w:rPr>
        <w:t>Sommige elementen in artikel 19</w:t>
      </w:r>
      <w:r w:rsidR="001D5058">
        <w:rPr>
          <w:rFonts w:cstheme="minorHAnsi"/>
          <w:lang w:val="nl-BE"/>
        </w:rPr>
        <w:t xml:space="preserve"> </w:t>
      </w:r>
      <w:r>
        <w:rPr>
          <w:rFonts w:cstheme="minorHAnsi"/>
          <w:lang w:val="nl-BE"/>
        </w:rPr>
        <w:t>b</w:t>
      </w:r>
      <w:r w:rsidR="001D5058">
        <w:rPr>
          <w:rFonts w:cstheme="minorHAnsi"/>
          <w:lang w:val="nl-BE"/>
        </w:rPr>
        <w:t>.</w:t>
      </w:r>
      <w:r>
        <w:rPr>
          <w:rFonts w:cstheme="minorHAnsi"/>
          <w:lang w:val="nl-BE"/>
        </w:rPr>
        <w:t xml:space="preserve"> hebben directe werking. Zo is het duidelijk dat discriminatie in het toegang verlenen tot ondersteuningsmogelijkheden als gevolg van een handicap (b.v. het voorbehouden van ondersteuning </w:t>
      </w:r>
      <w:r w:rsidR="00E047B9">
        <w:rPr>
          <w:rFonts w:cstheme="minorHAnsi"/>
          <w:lang w:val="nl-BE"/>
        </w:rPr>
        <w:t xml:space="preserve">aan personen met een handicap </w:t>
      </w:r>
      <w:r>
        <w:rPr>
          <w:rFonts w:cstheme="minorHAnsi"/>
          <w:lang w:val="nl-BE"/>
        </w:rPr>
        <w:t>op basis van leeftijd, aard</w:t>
      </w:r>
      <w:r w:rsidR="00A83ED3">
        <w:rPr>
          <w:rFonts w:cstheme="minorHAnsi"/>
          <w:lang w:val="nl-BE"/>
        </w:rPr>
        <w:t xml:space="preserve"> van de</w:t>
      </w:r>
      <w:r>
        <w:rPr>
          <w:rFonts w:cstheme="minorHAnsi"/>
          <w:lang w:val="nl-BE"/>
        </w:rPr>
        <w:t xml:space="preserve"> handicap en geslacht</w:t>
      </w:r>
      <w:r w:rsidR="00C65332">
        <w:rPr>
          <w:rFonts w:cstheme="minorHAnsi"/>
          <w:lang w:val="nl-BE"/>
        </w:rPr>
        <w:t>)</w:t>
      </w:r>
      <w:r>
        <w:rPr>
          <w:rFonts w:cstheme="minorHAnsi"/>
          <w:lang w:val="nl-BE"/>
        </w:rPr>
        <w:t xml:space="preserve"> niet kan</w:t>
      </w:r>
      <w:r w:rsidR="00327266">
        <w:rPr>
          <w:rFonts w:cstheme="minorHAnsi"/>
          <w:lang w:val="nl-BE"/>
        </w:rPr>
        <w:t xml:space="preserve"> [alinea’s naar Hammerberg, 2012: 20]</w:t>
      </w:r>
      <w:r>
        <w:rPr>
          <w:rFonts w:cstheme="minorHAnsi"/>
          <w:lang w:val="nl-BE"/>
        </w:rPr>
        <w:t>.</w:t>
      </w:r>
    </w:p>
    <w:p w:rsidR="00CD4B3B" w:rsidRDefault="00CD4B3B" w:rsidP="00CD4B3B">
      <w:pPr>
        <w:spacing w:before="120" w:after="120"/>
        <w:rPr>
          <w:rFonts w:cstheme="minorHAnsi"/>
          <w:lang w:val="nl-BE"/>
        </w:rPr>
      </w:pPr>
      <w:r>
        <w:rPr>
          <w:rFonts w:cstheme="minorHAnsi"/>
          <w:lang w:val="nl-BE"/>
        </w:rPr>
        <w:t>Artikel 19</w:t>
      </w:r>
      <w:r w:rsidR="00C13BE8">
        <w:rPr>
          <w:rFonts w:cstheme="minorHAnsi"/>
          <w:lang w:val="nl-BE"/>
        </w:rPr>
        <w:t xml:space="preserve"> c.</w:t>
      </w:r>
      <w:r>
        <w:rPr>
          <w:rFonts w:cstheme="minorHAnsi"/>
          <w:lang w:val="nl-BE"/>
        </w:rPr>
        <w:t xml:space="preserve"> houdt duidelijk verband met het burgerlijk</w:t>
      </w:r>
      <w:r w:rsidR="00E115F7">
        <w:rPr>
          <w:rFonts w:cstheme="minorHAnsi"/>
          <w:lang w:val="nl-BE"/>
        </w:rPr>
        <w:t>e</w:t>
      </w:r>
      <w:r>
        <w:rPr>
          <w:rFonts w:cstheme="minorHAnsi"/>
          <w:lang w:val="nl-BE"/>
        </w:rPr>
        <w:t xml:space="preserve"> en politieke recht op </w:t>
      </w:r>
      <w:r w:rsidR="00BD65F9">
        <w:rPr>
          <w:rFonts w:cstheme="minorHAnsi"/>
          <w:lang w:val="nl-BE"/>
        </w:rPr>
        <w:t>non-</w:t>
      </w:r>
      <w:r>
        <w:rPr>
          <w:rFonts w:cstheme="minorHAnsi"/>
          <w:lang w:val="nl-BE"/>
        </w:rPr>
        <w:t>discriminatie bij toegang t</w:t>
      </w:r>
      <w:r w:rsidR="001D5058">
        <w:rPr>
          <w:rFonts w:cstheme="minorHAnsi"/>
          <w:lang w:val="nl-BE"/>
        </w:rPr>
        <w:t xml:space="preserve">ot goederen en diensten en het </w:t>
      </w:r>
      <w:r>
        <w:rPr>
          <w:rFonts w:cstheme="minorHAnsi"/>
          <w:lang w:val="nl-BE"/>
        </w:rPr>
        <w:t>voorzien van redelijke aanpassingen. Het vraagt</w:t>
      </w:r>
      <w:r w:rsidR="008D1280">
        <w:rPr>
          <w:rFonts w:cstheme="minorHAnsi"/>
          <w:lang w:val="nl-BE"/>
        </w:rPr>
        <w:t>, waar nodig,</w:t>
      </w:r>
      <w:r>
        <w:rPr>
          <w:rFonts w:cstheme="minorHAnsi"/>
          <w:lang w:val="nl-BE"/>
        </w:rPr>
        <w:t xml:space="preserve"> onmi</w:t>
      </w:r>
      <w:r w:rsidR="008D1280">
        <w:rPr>
          <w:rFonts w:cstheme="minorHAnsi"/>
          <w:lang w:val="nl-BE"/>
        </w:rPr>
        <w:t>ddellijke wetgevende actie van de overheid</w:t>
      </w:r>
      <w:r w:rsidR="00C13BE8">
        <w:rPr>
          <w:rFonts w:cstheme="minorHAnsi"/>
          <w:lang w:val="nl-BE"/>
        </w:rPr>
        <w:t xml:space="preserve"> [alinea’s naar Hammerberg, 2012: 20].</w:t>
      </w:r>
    </w:p>
    <w:p w:rsidR="00C13BE8" w:rsidRPr="00C13BE8" w:rsidRDefault="00C13BE8" w:rsidP="00C13BE8">
      <w:pPr>
        <w:pStyle w:val="Kop5"/>
      </w:pPr>
      <w:r w:rsidRPr="00C13BE8">
        <w:t>Het VN-comité inzake de rechten van personen met een handicap en het artikel 19</w:t>
      </w:r>
    </w:p>
    <w:p w:rsidR="001D5058" w:rsidRDefault="00A17A34" w:rsidP="00A17A34">
      <w:pPr>
        <w:spacing w:before="120" w:after="120"/>
        <w:rPr>
          <w:rFonts w:cstheme="minorHAnsi"/>
        </w:rPr>
      </w:pPr>
      <w:r w:rsidRPr="00A17A34">
        <w:rPr>
          <w:rFonts w:cstheme="minorHAnsi"/>
        </w:rPr>
        <w:t>Het VN-</w:t>
      </w:r>
      <w:r w:rsidR="00103CE9" w:rsidRPr="00A17A34">
        <w:rPr>
          <w:rFonts w:cstheme="minorHAnsi"/>
        </w:rPr>
        <w:t xml:space="preserve">Comité </w:t>
      </w:r>
      <w:r w:rsidRPr="00A17A34">
        <w:rPr>
          <w:rFonts w:cstheme="minorHAnsi"/>
        </w:rPr>
        <w:t>inzake de rechten van per</w:t>
      </w:r>
      <w:r>
        <w:rPr>
          <w:rFonts w:cstheme="minorHAnsi"/>
        </w:rPr>
        <w:t>sonen</w:t>
      </w:r>
      <w:r w:rsidR="0078728E">
        <w:rPr>
          <w:rFonts w:cstheme="minorHAnsi"/>
        </w:rPr>
        <w:t xml:space="preserve"> met een handicap</w:t>
      </w:r>
      <w:r w:rsidR="00EF54F7">
        <w:rPr>
          <w:rFonts w:cstheme="minorHAnsi"/>
        </w:rPr>
        <w:t xml:space="preserve"> –</w:t>
      </w:r>
      <w:r>
        <w:rPr>
          <w:rFonts w:cstheme="minorHAnsi"/>
        </w:rPr>
        <w:t xml:space="preserve"> </w:t>
      </w:r>
      <w:r w:rsidR="001D5058">
        <w:rPr>
          <w:rFonts w:cstheme="minorHAnsi"/>
        </w:rPr>
        <w:t>een</w:t>
      </w:r>
      <w:r>
        <w:rPr>
          <w:rFonts w:cstheme="minorHAnsi"/>
        </w:rPr>
        <w:t xml:space="preserve"> internationaal comité </w:t>
      </w:r>
      <w:r w:rsidR="00EF54F7">
        <w:rPr>
          <w:rFonts w:cstheme="minorHAnsi"/>
        </w:rPr>
        <w:t xml:space="preserve">van 18 experten </w:t>
      </w:r>
      <w:r>
        <w:rPr>
          <w:rFonts w:cstheme="minorHAnsi"/>
        </w:rPr>
        <w:t xml:space="preserve">dat de implementatie van het VN-verdrag </w:t>
      </w:r>
      <w:r w:rsidR="00655DB6">
        <w:rPr>
          <w:rFonts w:cstheme="minorHAnsi"/>
        </w:rPr>
        <w:t>opvolgt</w:t>
      </w:r>
      <w:r w:rsidR="00EF54F7">
        <w:rPr>
          <w:rFonts w:cstheme="minorHAnsi"/>
        </w:rPr>
        <w:t xml:space="preserve"> </w:t>
      </w:r>
      <w:r w:rsidR="001D5058">
        <w:rPr>
          <w:rFonts w:cstheme="minorHAnsi"/>
        </w:rPr>
        <w:t>in uitvoering van</w:t>
      </w:r>
      <w:r w:rsidR="00EF54F7">
        <w:rPr>
          <w:rFonts w:cstheme="minorHAnsi"/>
        </w:rPr>
        <w:t xml:space="preserve"> artikel 34 </w:t>
      </w:r>
      <w:r w:rsidR="008D1280">
        <w:rPr>
          <w:rFonts w:cstheme="minorHAnsi"/>
        </w:rPr>
        <w:t xml:space="preserve">van het </w:t>
      </w:r>
      <w:r w:rsidR="00EF54F7">
        <w:rPr>
          <w:rFonts w:cstheme="minorHAnsi"/>
        </w:rPr>
        <w:t>VN-verdrag –</w:t>
      </w:r>
      <w:r>
        <w:rPr>
          <w:rFonts w:cstheme="minorHAnsi"/>
        </w:rPr>
        <w:t xml:space="preserve"> heeft zich bij </w:t>
      </w:r>
      <w:r w:rsidR="000E7AF6">
        <w:rPr>
          <w:rFonts w:cstheme="minorHAnsi"/>
        </w:rPr>
        <w:t xml:space="preserve">de beoordeling </w:t>
      </w:r>
      <w:r>
        <w:rPr>
          <w:rFonts w:cstheme="minorHAnsi"/>
        </w:rPr>
        <w:t xml:space="preserve">van </w:t>
      </w:r>
      <w:r w:rsidR="00655DB6">
        <w:rPr>
          <w:rFonts w:cstheme="minorHAnsi"/>
        </w:rPr>
        <w:t>door verdragsluitende staten ingediende</w:t>
      </w:r>
      <w:r>
        <w:rPr>
          <w:rFonts w:cstheme="minorHAnsi"/>
        </w:rPr>
        <w:t xml:space="preserve"> </w:t>
      </w:r>
      <w:r w:rsidR="00434627">
        <w:rPr>
          <w:rFonts w:cstheme="minorHAnsi"/>
        </w:rPr>
        <w:t>voortgangs</w:t>
      </w:r>
      <w:r>
        <w:rPr>
          <w:rFonts w:cstheme="minorHAnsi"/>
        </w:rPr>
        <w:t xml:space="preserve">rapporten </w:t>
      </w:r>
      <w:r w:rsidR="00655DB6">
        <w:rPr>
          <w:rFonts w:cstheme="minorHAnsi"/>
        </w:rPr>
        <w:t>uitgesproken</w:t>
      </w:r>
      <w:r>
        <w:rPr>
          <w:rFonts w:cstheme="minorHAnsi"/>
        </w:rPr>
        <w:t xml:space="preserve"> over de draag</w:t>
      </w:r>
      <w:r w:rsidR="001D5058">
        <w:rPr>
          <w:rFonts w:cstheme="minorHAnsi"/>
        </w:rPr>
        <w:t>wijdte van artikel 19.</w:t>
      </w:r>
    </w:p>
    <w:p w:rsidR="000E3652" w:rsidRDefault="008D1280" w:rsidP="00A17A34">
      <w:pPr>
        <w:spacing w:before="120" w:after="120"/>
        <w:rPr>
          <w:rFonts w:cstheme="minorHAnsi"/>
        </w:rPr>
      </w:pPr>
      <w:r>
        <w:rPr>
          <w:rFonts w:cstheme="minorHAnsi"/>
        </w:rPr>
        <w:t>We be</w:t>
      </w:r>
      <w:r w:rsidR="001D5058">
        <w:rPr>
          <w:rFonts w:cstheme="minorHAnsi"/>
        </w:rPr>
        <w:t>kijken commentaren op 2 Europese</w:t>
      </w:r>
      <w:r>
        <w:rPr>
          <w:rFonts w:cstheme="minorHAnsi"/>
        </w:rPr>
        <w:t xml:space="preserve"> landen.</w:t>
      </w:r>
    </w:p>
    <w:p w:rsidR="00A17A34" w:rsidRPr="00A17A34" w:rsidRDefault="00655DB6" w:rsidP="00A17A34">
      <w:pPr>
        <w:spacing w:before="120" w:after="120"/>
        <w:rPr>
          <w:rFonts w:cstheme="minorHAnsi"/>
        </w:rPr>
      </w:pPr>
      <w:r>
        <w:rPr>
          <w:rFonts w:cstheme="minorHAnsi"/>
        </w:rPr>
        <w:t xml:space="preserve">In haar conclusies over het rapport van </w:t>
      </w:r>
      <w:r w:rsidRPr="000E3652">
        <w:rPr>
          <w:rFonts w:cstheme="minorHAnsi"/>
          <w:b/>
        </w:rPr>
        <w:t>Spanje</w:t>
      </w:r>
      <w:r>
        <w:rPr>
          <w:rFonts w:cstheme="minorHAnsi"/>
        </w:rPr>
        <w:t xml:space="preserve"> meldde het </w:t>
      </w:r>
      <w:r w:rsidR="008D1280">
        <w:rPr>
          <w:rFonts w:cstheme="minorHAnsi"/>
        </w:rPr>
        <w:t xml:space="preserve">Comité </w:t>
      </w:r>
      <w:r>
        <w:rPr>
          <w:rFonts w:cstheme="minorHAnsi"/>
        </w:rPr>
        <w:t>het volgende:</w:t>
      </w:r>
    </w:p>
    <w:p w:rsidR="00A17A34" w:rsidRPr="00655DB6" w:rsidRDefault="00A17A34" w:rsidP="003D0403">
      <w:pPr>
        <w:spacing w:before="120" w:after="120"/>
        <w:ind w:left="357"/>
        <w:rPr>
          <w:rFonts w:cstheme="minorHAnsi"/>
          <w:i/>
          <w:sz w:val="20"/>
          <w:szCs w:val="20"/>
          <w:lang w:val="en-GB"/>
        </w:rPr>
      </w:pPr>
      <w:r w:rsidRPr="00655DB6">
        <w:rPr>
          <w:rFonts w:cstheme="minorHAnsi"/>
          <w:i/>
          <w:sz w:val="20"/>
          <w:szCs w:val="20"/>
          <w:lang w:val="en-GB"/>
        </w:rPr>
        <w:t>The Committee is concerned at the lack of resources and services to guarantee the right to live independently and to be included in the communit</w:t>
      </w:r>
      <w:r w:rsidR="00655DB6">
        <w:rPr>
          <w:rFonts w:cstheme="minorHAnsi"/>
          <w:i/>
          <w:sz w:val="20"/>
          <w:szCs w:val="20"/>
          <w:lang w:val="en-GB"/>
        </w:rPr>
        <w:t>y, in particular in rural areas</w:t>
      </w:r>
      <w:r w:rsidRPr="00655DB6">
        <w:rPr>
          <w:rFonts w:cstheme="minorHAnsi"/>
          <w:i/>
          <w:sz w:val="20"/>
          <w:szCs w:val="20"/>
          <w:lang w:val="en-GB"/>
        </w:rPr>
        <w:t xml:space="preserve">  It is further concerned that the choice of residence of persons with disabilities is limited by the availability of the necessary services, and that those living in residential institutions are reported to have no alternative to institutionalization. Finally the Committee is concerned about linking eligibility of social services to a specific grade of disability.</w:t>
      </w:r>
    </w:p>
    <w:p w:rsidR="00A17A34" w:rsidRPr="00655DB6" w:rsidRDefault="00A17A34" w:rsidP="003D0403">
      <w:pPr>
        <w:spacing w:before="120" w:after="120"/>
        <w:ind w:left="357"/>
        <w:rPr>
          <w:rFonts w:cstheme="minorHAnsi"/>
          <w:i/>
          <w:sz w:val="20"/>
          <w:szCs w:val="20"/>
          <w:lang w:val="en-GB"/>
        </w:rPr>
      </w:pPr>
      <w:r w:rsidRPr="00655DB6">
        <w:rPr>
          <w:rFonts w:cstheme="minorHAnsi"/>
          <w:i/>
          <w:sz w:val="20"/>
          <w:szCs w:val="20"/>
          <w:lang w:val="en-GB"/>
        </w:rPr>
        <w:t>The Committee encourages the State party to ensure that an adequate level of funding is made available to effectively enable persons with disabilities to: enjoy the freedom to choose their residence on an equal basis with others; access a full range of in-home, residential and other community services for daily life, including personal assistance; and so enjoy reasonable accommodation so as to better integrate into their communities.</w:t>
      </w:r>
    </w:p>
    <w:p w:rsidR="00A17A34" w:rsidRPr="00655DB6" w:rsidRDefault="00A17A34" w:rsidP="003D0403">
      <w:pPr>
        <w:spacing w:before="120" w:after="120"/>
        <w:ind w:left="357"/>
        <w:rPr>
          <w:rFonts w:cstheme="minorHAnsi"/>
          <w:i/>
          <w:sz w:val="20"/>
          <w:szCs w:val="20"/>
          <w:lang w:val="en-GB"/>
        </w:rPr>
      </w:pPr>
      <w:r w:rsidRPr="00655DB6">
        <w:rPr>
          <w:rFonts w:cstheme="minorHAnsi"/>
          <w:i/>
          <w:sz w:val="20"/>
          <w:szCs w:val="20"/>
          <w:lang w:val="en-GB"/>
        </w:rPr>
        <w:t>The Committee is concerned that the law for the promotion of autonomy limits the resources to hire personal assistants only to those persons who have level 3 disabilities and only for education and work.</w:t>
      </w:r>
    </w:p>
    <w:p w:rsidR="00A17A34" w:rsidRPr="00655DB6" w:rsidRDefault="00A17A34" w:rsidP="003D0403">
      <w:pPr>
        <w:spacing w:before="120" w:after="120"/>
        <w:ind w:left="357"/>
        <w:rPr>
          <w:rFonts w:cstheme="minorHAnsi"/>
          <w:i/>
          <w:sz w:val="20"/>
          <w:szCs w:val="20"/>
          <w:lang w:val="en-GB"/>
        </w:rPr>
      </w:pPr>
      <w:r w:rsidRPr="00655DB6">
        <w:rPr>
          <w:rFonts w:cstheme="minorHAnsi"/>
          <w:i/>
          <w:sz w:val="20"/>
          <w:szCs w:val="20"/>
          <w:lang w:val="en-GB"/>
        </w:rPr>
        <w:t>The Committee encourages the State party to expand resources for personal assistants for all persons with disabilities in accordance with their requirements</w:t>
      </w:r>
      <w:r w:rsidR="00DA0284" w:rsidRPr="003D0403">
        <w:footnoteReference w:id="3"/>
      </w:r>
      <w:r w:rsidRPr="00655DB6">
        <w:rPr>
          <w:rFonts w:cstheme="minorHAnsi"/>
          <w:i/>
          <w:sz w:val="20"/>
          <w:szCs w:val="20"/>
          <w:lang w:val="en-GB"/>
        </w:rPr>
        <w:t>.</w:t>
      </w:r>
    </w:p>
    <w:p w:rsidR="00655DB6" w:rsidRDefault="00655DB6" w:rsidP="003D0403">
      <w:pPr>
        <w:spacing w:before="120" w:after="120"/>
        <w:rPr>
          <w:rFonts w:cstheme="minorHAnsi"/>
        </w:rPr>
      </w:pPr>
      <w:r w:rsidRPr="00655DB6">
        <w:rPr>
          <w:rFonts w:cstheme="minorHAnsi"/>
        </w:rPr>
        <w:lastRenderedPageBreak/>
        <w:t xml:space="preserve">Het </w:t>
      </w:r>
      <w:r w:rsidR="005B67B5" w:rsidRPr="00655DB6">
        <w:rPr>
          <w:rFonts w:cstheme="minorHAnsi"/>
        </w:rPr>
        <w:t>C</w:t>
      </w:r>
      <w:r w:rsidRPr="00655DB6">
        <w:rPr>
          <w:rFonts w:cstheme="minorHAnsi"/>
        </w:rPr>
        <w:t xml:space="preserve">omité toont zich </w:t>
      </w:r>
      <w:r w:rsidR="00DC0449">
        <w:rPr>
          <w:rFonts w:cstheme="minorHAnsi"/>
        </w:rPr>
        <w:t xml:space="preserve">voor Spanje </w:t>
      </w:r>
      <w:r w:rsidR="001D5058">
        <w:rPr>
          <w:rFonts w:cstheme="minorHAnsi"/>
        </w:rPr>
        <w:t xml:space="preserve">onder meer </w:t>
      </w:r>
      <w:r w:rsidRPr="00655DB6">
        <w:rPr>
          <w:rFonts w:cstheme="minorHAnsi"/>
        </w:rPr>
        <w:t>bezorgd over</w:t>
      </w:r>
      <w:r w:rsidR="001D5058">
        <w:rPr>
          <w:rFonts w:cstheme="minorHAnsi"/>
        </w:rPr>
        <w:t xml:space="preserve"> h</w:t>
      </w:r>
      <w:r w:rsidRPr="001D5058">
        <w:rPr>
          <w:rFonts w:cstheme="minorHAnsi"/>
        </w:rPr>
        <w:t xml:space="preserve">et </w:t>
      </w:r>
      <w:r w:rsidR="00DA0284" w:rsidRPr="001D5058">
        <w:rPr>
          <w:rFonts w:cstheme="minorHAnsi"/>
        </w:rPr>
        <w:t xml:space="preserve">niet </w:t>
      </w:r>
      <w:r w:rsidRPr="001D5058">
        <w:rPr>
          <w:rFonts w:cstheme="minorHAnsi"/>
        </w:rPr>
        <w:t xml:space="preserve">voor handen zijn van </w:t>
      </w:r>
      <w:r w:rsidR="00DA0284" w:rsidRPr="001D5058">
        <w:rPr>
          <w:rFonts w:cstheme="minorHAnsi"/>
        </w:rPr>
        <w:t>(</w:t>
      </w:r>
      <w:r w:rsidR="005B67B5" w:rsidRPr="001D5058">
        <w:rPr>
          <w:rFonts w:cstheme="minorHAnsi"/>
        </w:rPr>
        <w:t>voldoende</w:t>
      </w:r>
      <w:r w:rsidR="00DA0284" w:rsidRPr="001D5058">
        <w:rPr>
          <w:rFonts w:cstheme="minorHAnsi"/>
        </w:rPr>
        <w:t>)</w:t>
      </w:r>
      <w:r w:rsidR="005B67B5" w:rsidRPr="001D5058">
        <w:rPr>
          <w:rFonts w:cstheme="minorHAnsi"/>
        </w:rPr>
        <w:t xml:space="preserve"> </w:t>
      </w:r>
      <w:r w:rsidR="00434627">
        <w:rPr>
          <w:rFonts w:cstheme="minorHAnsi"/>
        </w:rPr>
        <w:t xml:space="preserve">gemeenschapsgebaseerde </w:t>
      </w:r>
      <w:r w:rsidRPr="001D5058">
        <w:rPr>
          <w:rFonts w:cstheme="minorHAnsi"/>
        </w:rPr>
        <w:t xml:space="preserve">alternatieven voor hen die in </w:t>
      </w:r>
      <w:r w:rsidR="005B67B5" w:rsidRPr="001D5058">
        <w:rPr>
          <w:rFonts w:cstheme="minorHAnsi"/>
        </w:rPr>
        <w:t>“</w:t>
      </w:r>
      <w:r w:rsidR="00DA0284" w:rsidRPr="001D5058">
        <w:rPr>
          <w:rFonts w:cstheme="minorHAnsi"/>
        </w:rPr>
        <w:t>instituten</w:t>
      </w:r>
      <w:r w:rsidR="005B67B5" w:rsidRPr="001D5058">
        <w:rPr>
          <w:rFonts w:cstheme="minorHAnsi"/>
        </w:rPr>
        <w:t>”</w:t>
      </w:r>
      <w:r w:rsidRPr="001D5058">
        <w:rPr>
          <w:rFonts w:cstheme="minorHAnsi"/>
        </w:rPr>
        <w:t xml:space="preserve"> leven </w:t>
      </w:r>
      <w:r w:rsidR="005B67B5" w:rsidRPr="001D5058">
        <w:rPr>
          <w:rFonts w:cstheme="minorHAnsi"/>
        </w:rPr>
        <w:t xml:space="preserve">en zij </w:t>
      </w:r>
      <w:r w:rsidR="00DA0284" w:rsidRPr="001D5058">
        <w:rPr>
          <w:rFonts w:cstheme="minorHAnsi"/>
        </w:rPr>
        <w:t>die in landelijke gebieden wonen</w:t>
      </w:r>
      <w:r w:rsidR="005B4118" w:rsidRPr="001D5058">
        <w:rPr>
          <w:rFonts w:cstheme="minorHAnsi"/>
        </w:rPr>
        <w:t>.</w:t>
      </w:r>
      <w:r w:rsidR="003D0403">
        <w:rPr>
          <w:rFonts w:cstheme="minorHAnsi"/>
        </w:rPr>
        <w:t xml:space="preserve"> Het Comité is ook bezorgd over het koppelen van </w:t>
      </w:r>
      <w:r w:rsidRPr="00DA0284">
        <w:rPr>
          <w:rFonts w:cstheme="minorHAnsi"/>
        </w:rPr>
        <w:t xml:space="preserve">sociale dienstverlening aan een </w:t>
      </w:r>
      <w:r w:rsidR="000E3652">
        <w:rPr>
          <w:rFonts w:cstheme="minorHAnsi"/>
        </w:rPr>
        <w:t xml:space="preserve">bepaalde </w:t>
      </w:r>
      <w:r w:rsidR="00DA0284" w:rsidRPr="00DA0284">
        <w:rPr>
          <w:rFonts w:cstheme="minorHAnsi"/>
        </w:rPr>
        <w:t>ernst</w:t>
      </w:r>
      <w:r w:rsidRPr="00DA0284">
        <w:rPr>
          <w:rFonts w:cstheme="minorHAnsi"/>
        </w:rPr>
        <w:t>graad van handicap</w:t>
      </w:r>
      <w:r w:rsidR="003D0403">
        <w:rPr>
          <w:rFonts w:cstheme="minorHAnsi"/>
        </w:rPr>
        <w:t>.</w:t>
      </w:r>
    </w:p>
    <w:p w:rsidR="00BD65F9" w:rsidRDefault="003D0403" w:rsidP="003D0403">
      <w:pPr>
        <w:spacing w:before="120" w:after="120"/>
        <w:rPr>
          <w:rFonts w:cstheme="minorHAnsi"/>
        </w:rPr>
      </w:pPr>
      <w:r>
        <w:rPr>
          <w:rFonts w:cstheme="minorHAnsi"/>
        </w:rPr>
        <w:t xml:space="preserve">Het Comité stimuleert </w:t>
      </w:r>
      <w:r w:rsidRPr="000E3652">
        <w:rPr>
          <w:rFonts w:cstheme="minorHAnsi"/>
        </w:rPr>
        <w:t xml:space="preserve">het </w:t>
      </w:r>
      <w:r w:rsidR="00DD7B24">
        <w:rPr>
          <w:rFonts w:cstheme="minorHAnsi"/>
        </w:rPr>
        <w:t xml:space="preserve">principieel </w:t>
      </w:r>
      <w:r>
        <w:rPr>
          <w:rFonts w:cstheme="minorHAnsi"/>
        </w:rPr>
        <w:t>verruimen</w:t>
      </w:r>
      <w:r w:rsidR="00655DB6" w:rsidRPr="000E3652">
        <w:rPr>
          <w:rFonts w:cstheme="minorHAnsi"/>
        </w:rPr>
        <w:t xml:space="preserve"> van het re</w:t>
      </w:r>
      <w:r>
        <w:rPr>
          <w:rFonts w:cstheme="minorHAnsi"/>
        </w:rPr>
        <w:t xml:space="preserve">cht op persoonlijke assistentie </w:t>
      </w:r>
      <w:r w:rsidR="00BD65F9">
        <w:rPr>
          <w:rFonts w:cstheme="minorHAnsi"/>
        </w:rPr>
        <w:t>naar alle personen met een handicap en van het toepassingsgebied ervan</w:t>
      </w:r>
      <w:r w:rsidR="00DD7B24">
        <w:rPr>
          <w:rFonts w:cstheme="minorHAnsi"/>
        </w:rPr>
        <w:t xml:space="preserve"> tot meer levensdomeinen</w:t>
      </w:r>
      <w:r w:rsidR="00BD65F9">
        <w:rPr>
          <w:rFonts w:cstheme="minorHAnsi"/>
        </w:rPr>
        <w:t>.</w:t>
      </w:r>
    </w:p>
    <w:p w:rsidR="000E3652" w:rsidRDefault="00BD65F9" w:rsidP="003D0403">
      <w:pPr>
        <w:spacing w:before="120" w:after="120"/>
        <w:rPr>
          <w:rFonts w:cstheme="minorHAnsi"/>
        </w:rPr>
      </w:pPr>
      <w:r>
        <w:rPr>
          <w:rFonts w:cstheme="minorHAnsi"/>
        </w:rPr>
        <w:t xml:space="preserve">Het Comité </w:t>
      </w:r>
      <w:r w:rsidR="00DD7B24">
        <w:rPr>
          <w:rFonts w:cstheme="minorHAnsi"/>
        </w:rPr>
        <w:t>moedigt de staat verder aan om</w:t>
      </w:r>
      <w:r w:rsidR="000E3652">
        <w:rPr>
          <w:rFonts w:cstheme="minorHAnsi"/>
        </w:rPr>
        <w:t xml:space="preserve"> voldoende middelen </w:t>
      </w:r>
      <w:r w:rsidR="00434627">
        <w:rPr>
          <w:rFonts w:cstheme="minorHAnsi"/>
        </w:rPr>
        <w:t xml:space="preserve">te voorzien </w:t>
      </w:r>
      <w:r w:rsidR="00DD7B24">
        <w:rPr>
          <w:rFonts w:cstheme="minorHAnsi"/>
        </w:rPr>
        <w:t xml:space="preserve">teneinde het kunnen bieden van </w:t>
      </w:r>
      <w:r w:rsidR="000E3652">
        <w:rPr>
          <w:rFonts w:cstheme="minorHAnsi"/>
        </w:rPr>
        <w:t xml:space="preserve">een waaier </w:t>
      </w:r>
      <w:r w:rsidR="00DD7B24">
        <w:rPr>
          <w:rFonts w:cstheme="minorHAnsi"/>
        </w:rPr>
        <w:t>aan</w:t>
      </w:r>
      <w:r w:rsidR="000E3652">
        <w:rPr>
          <w:rFonts w:cstheme="minorHAnsi"/>
        </w:rPr>
        <w:t xml:space="preserve"> </w:t>
      </w:r>
      <w:r w:rsidR="00126822">
        <w:rPr>
          <w:rFonts w:cstheme="minorHAnsi"/>
        </w:rPr>
        <w:t>ondersteuningsmogelijkheden, zoals gevraagd in artikel 19 b</w:t>
      </w:r>
      <w:r w:rsidR="00DC0449">
        <w:rPr>
          <w:rFonts w:cstheme="minorHAnsi"/>
        </w:rPr>
        <w:t xml:space="preserve">. </w:t>
      </w:r>
      <w:r w:rsidR="00126822">
        <w:rPr>
          <w:rFonts w:cstheme="minorHAnsi"/>
        </w:rPr>
        <w:t>, waar te maken.</w:t>
      </w:r>
    </w:p>
    <w:p w:rsidR="00126822" w:rsidRDefault="00126822" w:rsidP="00126822">
      <w:pPr>
        <w:spacing w:before="120" w:after="120"/>
        <w:rPr>
          <w:rFonts w:cstheme="minorHAnsi"/>
        </w:rPr>
      </w:pPr>
      <w:r w:rsidRPr="00126822">
        <w:rPr>
          <w:rFonts w:cstheme="minorHAnsi"/>
        </w:rPr>
        <w:t xml:space="preserve">In haar conclusies over het rapport van </w:t>
      </w:r>
      <w:r w:rsidR="00103CE9" w:rsidRPr="00103CE9">
        <w:rPr>
          <w:rFonts w:cstheme="minorHAnsi"/>
          <w:b/>
        </w:rPr>
        <w:t>Hongarije</w:t>
      </w:r>
      <w:r w:rsidR="00103CE9" w:rsidRPr="00126822">
        <w:rPr>
          <w:rFonts w:cstheme="minorHAnsi"/>
        </w:rPr>
        <w:t xml:space="preserve"> </w:t>
      </w:r>
      <w:r w:rsidRPr="00126822">
        <w:rPr>
          <w:rFonts w:cstheme="minorHAnsi"/>
        </w:rPr>
        <w:t>meldde het Comité het volgende:</w:t>
      </w:r>
    </w:p>
    <w:p w:rsidR="00126822" w:rsidRPr="00126822" w:rsidRDefault="00126822" w:rsidP="003D0403">
      <w:pPr>
        <w:spacing w:before="120" w:after="120"/>
        <w:ind w:left="357"/>
        <w:rPr>
          <w:rFonts w:cstheme="minorHAnsi"/>
          <w:i/>
          <w:sz w:val="20"/>
          <w:szCs w:val="20"/>
          <w:lang w:val="en-GB"/>
        </w:rPr>
      </w:pPr>
      <w:r w:rsidRPr="00126822">
        <w:rPr>
          <w:rFonts w:cstheme="minorHAnsi"/>
          <w:i/>
          <w:sz w:val="20"/>
          <w:szCs w:val="20"/>
          <w:lang w:val="en-GB"/>
        </w:rPr>
        <w:t>The Committee takes note that the State party has recognized the need for the replacement of large social institutions for persons with disabilities in community-based settings (deinstitutionalization). The Committee, however, notes with concern that the State party has set a 30-year time frame for its plan for deinstitutionalization. It is furthermore concerned that the State party has dedicated disproportionally large resources, including regional European Union funds, to the reconstruction of large institutions, which will lead to continued segregation, in comparison with the resources allocated for setting up community-based support service networks. The Committee is concerned that the State party fails to provide sufficient and adequate support services in local communities to enable persons with disabilities to live independently outside a residential institutional setting</w:t>
      </w:r>
      <w:r w:rsidR="00A97576">
        <w:rPr>
          <w:rStyle w:val="Voetnootmarkering"/>
          <w:rFonts w:cstheme="minorHAnsi"/>
          <w:i/>
          <w:sz w:val="20"/>
          <w:szCs w:val="20"/>
          <w:lang w:val="en-GB"/>
        </w:rPr>
        <w:footnoteReference w:id="4"/>
      </w:r>
      <w:r w:rsidRPr="00126822">
        <w:rPr>
          <w:rFonts w:cstheme="minorHAnsi"/>
          <w:i/>
          <w:sz w:val="20"/>
          <w:szCs w:val="20"/>
          <w:lang w:val="en-GB"/>
        </w:rPr>
        <w:t>.</w:t>
      </w:r>
    </w:p>
    <w:p w:rsidR="00126822" w:rsidRDefault="00126822" w:rsidP="00126822">
      <w:pPr>
        <w:spacing w:before="120" w:after="120"/>
        <w:rPr>
          <w:rFonts w:cstheme="minorHAnsi"/>
        </w:rPr>
      </w:pPr>
      <w:r w:rsidRPr="00126822">
        <w:rPr>
          <w:rFonts w:cstheme="minorHAnsi"/>
        </w:rPr>
        <w:t xml:space="preserve">Het Comité staat stil bij het </w:t>
      </w:r>
      <w:r w:rsidR="00A97576" w:rsidRPr="00126822">
        <w:rPr>
          <w:rFonts w:cstheme="minorHAnsi"/>
        </w:rPr>
        <w:t>belang</w:t>
      </w:r>
      <w:r w:rsidRPr="00126822">
        <w:rPr>
          <w:rFonts w:cstheme="minorHAnsi"/>
        </w:rPr>
        <w:t xml:space="preserve"> van de</w:t>
      </w:r>
      <w:r w:rsidR="003D0403">
        <w:rPr>
          <w:rFonts w:cstheme="minorHAnsi"/>
        </w:rPr>
        <w:t>-</w:t>
      </w:r>
      <w:r w:rsidRPr="00126822">
        <w:rPr>
          <w:rFonts w:cstheme="minorHAnsi"/>
        </w:rPr>
        <w:t xml:space="preserve">institutionalisatie </w:t>
      </w:r>
      <w:r w:rsidR="00434627">
        <w:rPr>
          <w:rFonts w:cstheme="minorHAnsi"/>
        </w:rPr>
        <w:t xml:space="preserve">(binnen een redelijke termijn) </w:t>
      </w:r>
      <w:r w:rsidRPr="00126822">
        <w:rPr>
          <w:rFonts w:cstheme="minorHAnsi"/>
        </w:rPr>
        <w:t xml:space="preserve">en </w:t>
      </w:r>
      <w:r w:rsidR="00A97576">
        <w:rPr>
          <w:rFonts w:cstheme="minorHAnsi"/>
        </w:rPr>
        <w:t>toont zich bezorgd over het voorzien</w:t>
      </w:r>
      <w:r w:rsidRPr="00126822">
        <w:rPr>
          <w:rFonts w:cstheme="minorHAnsi"/>
        </w:rPr>
        <w:t xml:space="preserve"> van voldoende mi</w:t>
      </w:r>
      <w:r>
        <w:rPr>
          <w:rFonts w:cstheme="minorHAnsi"/>
        </w:rPr>
        <w:t xml:space="preserve">ddelen voor het uitwerken van </w:t>
      </w:r>
      <w:r w:rsidR="00F96177">
        <w:rPr>
          <w:rFonts w:cstheme="minorHAnsi"/>
        </w:rPr>
        <w:t>gemeenschapsgerichte</w:t>
      </w:r>
      <w:r>
        <w:rPr>
          <w:rFonts w:cstheme="minorHAnsi"/>
        </w:rPr>
        <w:t xml:space="preserve"> alternatieven.</w:t>
      </w:r>
    </w:p>
    <w:p w:rsidR="00DD7B24" w:rsidRPr="000B5DC5" w:rsidRDefault="000B5DC5" w:rsidP="00DD7B24">
      <w:pPr>
        <w:pStyle w:val="Kop3"/>
      </w:pPr>
      <w:r w:rsidRPr="000B5DC5">
        <w:rPr>
          <w:caps w:val="0"/>
        </w:rPr>
        <w:t xml:space="preserve">ARTIKEL 23: </w:t>
      </w:r>
      <w:r w:rsidRPr="000B5DC5">
        <w:rPr>
          <w:iCs/>
          <w:caps w:val="0"/>
        </w:rPr>
        <w:t>EERBIEDIGING VAN DE WONING EN HET GEZINSLEVEN</w:t>
      </w:r>
    </w:p>
    <w:p w:rsidR="00DD7B24" w:rsidRDefault="00DD7B24" w:rsidP="00DD7B24">
      <w:r>
        <w:t xml:space="preserve">Op grond van artikel 23 hebben personen met een handicap </w:t>
      </w:r>
      <w:r w:rsidR="00780A1D">
        <w:t xml:space="preserve">op voet van gelijkheid met anderen </w:t>
      </w:r>
      <w:r>
        <w:t xml:space="preserve">het recht op het stichten van een gezin. Kinderen met een handicap dienen maximaal op te kunnen groeien binnen de familie, indien dit niet kan wordt gezocht naar opvang </w:t>
      </w:r>
      <w:r w:rsidR="00780A1D">
        <w:t xml:space="preserve">binnen </w:t>
      </w:r>
      <w:r>
        <w:t xml:space="preserve">de ruimere familiale kring of in gezinsvervangende verbanden binnen de gemeenschap (artikel 23 </w:t>
      </w:r>
      <w:r w:rsidR="000E7AF6">
        <w:t>§</w:t>
      </w:r>
      <w:r>
        <w:t>5.).</w:t>
      </w:r>
    </w:p>
    <w:p w:rsidR="00DD7B24" w:rsidRPr="000B5DC5" w:rsidRDefault="005B2E18" w:rsidP="00DD7B24">
      <w:pPr>
        <w:pStyle w:val="Kop3"/>
      </w:pPr>
      <w:r w:rsidRPr="000B5DC5">
        <w:rPr>
          <w:caps w:val="0"/>
        </w:rPr>
        <w:t xml:space="preserve">ARTIKEL 28: </w:t>
      </w:r>
      <w:r w:rsidRPr="000B5DC5">
        <w:rPr>
          <w:iCs/>
          <w:caps w:val="0"/>
        </w:rPr>
        <w:t>BEHOORLIJKE LEVENSSTANDAARD EN SOCIALE BESCHERMING</w:t>
      </w:r>
    </w:p>
    <w:p w:rsidR="00AE1B05" w:rsidRDefault="00DD7B24" w:rsidP="00DD7B24">
      <w:r>
        <w:t>Onder artikel 28 dienen de verdragsluitende staten</w:t>
      </w:r>
      <w:r w:rsidR="00780A1D">
        <w:t xml:space="preserve"> te voorzien in</w:t>
      </w:r>
      <w:r>
        <w:t xml:space="preserve"> een </w:t>
      </w:r>
      <w:r w:rsidR="00780A1D">
        <w:t xml:space="preserve">behoorlijke </w:t>
      </w:r>
      <w:r>
        <w:t xml:space="preserve">levenstandaard en toegang tot sociale bescherming van personen met een handicap en hun familie, onder andere inzake huisvesting en een voortdurende verbetering van deze levensomstandigheden (artikel 28 </w:t>
      </w:r>
      <w:r w:rsidR="000E7AF6">
        <w:t>§</w:t>
      </w:r>
      <w:r>
        <w:t>1.).</w:t>
      </w:r>
    </w:p>
    <w:p w:rsidR="00AE1B05" w:rsidRDefault="00AE1B05">
      <w:pPr>
        <w:jc w:val="left"/>
      </w:pPr>
      <w:r>
        <w:br w:type="page"/>
      </w:r>
    </w:p>
    <w:p w:rsidR="00DD7B24" w:rsidRDefault="00DD7B24" w:rsidP="00DD7B24">
      <w:r>
        <w:lastRenderedPageBreak/>
        <w:t xml:space="preserve">Verdere waarborgen inzake sociale bescherming zijn onder andere (artikel 28 </w:t>
      </w:r>
      <w:r w:rsidR="000E7AF6">
        <w:t>§</w:t>
      </w:r>
      <w:r>
        <w:t>2.):</w:t>
      </w:r>
    </w:p>
    <w:p w:rsidR="00DD7B24" w:rsidRDefault="00DD7B24" w:rsidP="00DD7B24">
      <w:pPr>
        <w:pStyle w:val="Lijstalinea"/>
        <w:numPr>
          <w:ilvl w:val="0"/>
          <w:numId w:val="8"/>
        </w:numPr>
      </w:pPr>
      <w:r>
        <w:t xml:space="preserve">toegang tot passende en betaalbare diensten, instrumenten en andere vormen van ondersteuning voor aan de handicap gerelateerde behoeften (artikel 28 </w:t>
      </w:r>
      <w:r w:rsidR="000E7AF6">
        <w:t>§</w:t>
      </w:r>
      <w:r>
        <w:t>2. a.);</w:t>
      </w:r>
    </w:p>
    <w:p w:rsidR="00DD7B24" w:rsidRDefault="00DD7B24" w:rsidP="00DD7B24">
      <w:pPr>
        <w:pStyle w:val="Lijstalinea"/>
        <w:numPr>
          <w:ilvl w:val="0"/>
          <w:numId w:val="9"/>
        </w:numPr>
      </w:pPr>
      <w:r>
        <w:t xml:space="preserve">voor personen met een handicap en hun gezinnen die in armoede leven de toegang tot hulp van de overheid, voor aan de handicap gerelateerde kosten, met inbegrip van adequate opleiding, advisering, financiële hulp en mantelzorgondersteunende zorg (artikel 28 </w:t>
      </w:r>
      <w:r w:rsidR="000E7AF6">
        <w:t>§</w:t>
      </w:r>
      <w:r>
        <w:t>2. c.);</w:t>
      </w:r>
    </w:p>
    <w:p w:rsidR="00DD7B24" w:rsidRDefault="00DD7B24" w:rsidP="00DD7B24">
      <w:pPr>
        <w:pStyle w:val="Lijstalinea"/>
        <w:numPr>
          <w:ilvl w:val="0"/>
          <w:numId w:val="9"/>
        </w:numPr>
      </w:pPr>
      <w:r>
        <w:t xml:space="preserve">de toegang voor personen met een handicap te waarborgen tot sociale huisvestingsprogramma’s (artikel 28 </w:t>
      </w:r>
      <w:r w:rsidR="000E7AF6">
        <w:t>§</w:t>
      </w:r>
      <w:r>
        <w:t>2. d.)</w:t>
      </w:r>
    </w:p>
    <w:p w:rsidR="00AE3714" w:rsidRDefault="00353608" w:rsidP="00AE3714">
      <w:pPr>
        <w:pStyle w:val="Kop3"/>
      </w:pPr>
      <w:r>
        <w:rPr>
          <w:caps w:val="0"/>
        </w:rPr>
        <w:t>DE VEROORDELING VAN DE BELGISCHE STAAT EN DE DEELGEBIEDEN</w:t>
      </w:r>
      <w:r w:rsidR="000B5DC5">
        <w:rPr>
          <w:rStyle w:val="Voetnootmarkering"/>
          <w:caps w:val="0"/>
        </w:rPr>
        <w:footnoteReference w:id="5"/>
      </w:r>
      <w:r>
        <w:rPr>
          <w:caps w:val="0"/>
        </w:rPr>
        <w:t xml:space="preserve"> DOOR HET EUROPEES COMITÉ </w:t>
      </w:r>
      <w:r w:rsidR="00780A1D">
        <w:rPr>
          <w:caps w:val="0"/>
        </w:rPr>
        <w:t xml:space="preserve">VOOR SOCIALE RECHTEN </w:t>
      </w:r>
      <w:r>
        <w:rPr>
          <w:caps w:val="0"/>
        </w:rPr>
        <w:t>OP 26 MAART 2013</w:t>
      </w:r>
    </w:p>
    <w:p w:rsidR="00AE3714" w:rsidRDefault="00AE3714" w:rsidP="00AE3714">
      <w:r>
        <w:t>Volgend op een klacht van 20 verenigingen van personen met een handicap, neer</w:t>
      </w:r>
      <w:r w:rsidR="00C40D8E">
        <w:t>ge</w:t>
      </w:r>
      <w:r>
        <w:t xml:space="preserve">legd door de </w:t>
      </w:r>
      <w:r w:rsidR="003D0403">
        <w:t xml:space="preserve">Internationale Federatie </w:t>
      </w:r>
      <w:r>
        <w:t xml:space="preserve">voor de </w:t>
      </w:r>
      <w:r w:rsidR="003D0403">
        <w:t xml:space="preserve">Mensenrechten </w:t>
      </w:r>
      <w:r>
        <w:t xml:space="preserve">wegens ernstige tekortkomingen naar de ondersteuning </w:t>
      </w:r>
      <w:r w:rsidR="00780A1D">
        <w:t xml:space="preserve">van volwassen </w:t>
      </w:r>
      <w:r>
        <w:t xml:space="preserve">personen met een </w:t>
      </w:r>
      <w:r w:rsidR="00780A1D">
        <w:t xml:space="preserve">handicap en een </w:t>
      </w:r>
      <w:r>
        <w:t>ernstige ondersteuningsnood werd België en haar deelgebieden veroordeeld op 26 maart 2013.</w:t>
      </w:r>
    </w:p>
    <w:p w:rsidR="00AE3714" w:rsidRDefault="000B0A28" w:rsidP="00AE3714">
      <w:r>
        <w:t>De beslissing van he</w:t>
      </w:r>
      <w:r w:rsidR="00A07545">
        <w:t>t Europees Comité</w:t>
      </w:r>
      <w:r w:rsidR="00AE3714">
        <w:t>:</w:t>
      </w:r>
    </w:p>
    <w:p w:rsidR="00AE3714" w:rsidRDefault="00DC0449" w:rsidP="00C40D8E">
      <w:pPr>
        <w:pStyle w:val="Lijstalinea"/>
        <w:numPr>
          <w:ilvl w:val="0"/>
          <w:numId w:val="5"/>
        </w:numPr>
      </w:pPr>
      <w:r>
        <w:t xml:space="preserve">herinnert </w:t>
      </w:r>
      <w:r w:rsidR="000B0A28">
        <w:t>d</w:t>
      </w:r>
      <w:r w:rsidR="00AE3714">
        <w:t xml:space="preserve">at het recht op zorg en ondersteuning effectief is en geen theoretisch recht </w:t>
      </w:r>
      <w:r w:rsidR="000B0A28">
        <w:t>mag blijven</w:t>
      </w:r>
      <w:r w:rsidR="00AE3714">
        <w:t>.</w:t>
      </w:r>
    </w:p>
    <w:p w:rsidR="00AE3714" w:rsidRDefault="00527221" w:rsidP="00C40D8E">
      <w:pPr>
        <w:pStyle w:val="Lijstalinea"/>
        <w:numPr>
          <w:ilvl w:val="0"/>
          <w:numId w:val="5"/>
        </w:numPr>
      </w:pPr>
      <w:r>
        <w:t xml:space="preserve">onderstreept </w:t>
      </w:r>
      <w:r w:rsidR="009366B5">
        <w:t>d</w:t>
      </w:r>
      <w:r w:rsidR="00AE3714">
        <w:t xml:space="preserve">at de waaier aan ondersteuningsmogelijkheden </w:t>
      </w:r>
      <w:r w:rsidR="00BB4951">
        <w:t xml:space="preserve">ruim </w:t>
      </w:r>
      <w:r w:rsidR="00FD5B3D">
        <w:t xml:space="preserve">moet zijn </w:t>
      </w:r>
      <w:r w:rsidR="00AE3714">
        <w:t xml:space="preserve">en keuze </w:t>
      </w:r>
      <w:r w:rsidR="00FD5B3D">
        <w:t>moet toelaten</w:t>
      </w:r>
      <w:r w:rsidR="00AE3714">
        <w:t>.</w:t>
      </w:r>
    </w:p>
    <w:p w:rsidR="000E1169" w:rsidRDefault="00527221" w:rsidP="00C40D8E">
      <w:pPr>
        <w:pStyle w:val="Lijstalinea"/>
        <w:numPr>
          <w:ilvl w:val="0"/>
          <w:numId w:val="5"/>
        </w:numPr>
      </w:pPr>
      <w:r>
        <w:t xml:space="preserve">meent </w:t>
      </w:r>
      <w:r w:rsidR="000E1169">
        <w:t>dat het gebrek aan statistische gegevens een ernstige tekortkoming is in functie van effectieve beleidsvoering.</w:t>
      </w:r>
    </w:p>
    <w:p w:rsidR="00942D5D" w:rsidRDefault="00527221" w:rsidP="00C41F7C">
      <w:pPr>
        <w:pStyle w:val="Lijstalinea"/>
        <w:numPr>
          <w:ilvl w:val="0"/>
          <w:numId w:val="5"/>
        </w:numPr>
      </w:pPr>
      <w:r w:rsidRPr="007B280A">
        <w:t xml:space="preserve">veronderstelt </w:t>
      </w:r>
      <w:r w:rsidR="00C41F7C" w:rsidRPr="001F55E7">
        <w:t xml:space="preserve">in elk geval dat het aantal bestaande plaatsen niet tegemoet komt aan de vraag, wat </w:t>
      </w:r>
      <w:r w:rsidR="0027622B">
        <w:t xml:space="preserve">leidt </w:t>
      </w:r>
      <w:r w:rsidR="00C41F7C" w:rsidRPr="001F55E7">
        <w:t xml:space="preserve">tot de </w:t>
      </w:r>
      <w:r w:rsidR="00942D5D">
        <w:t>uitsluiting</w:t>
      </w:r>
      <w:r w:rsidR="00C41F7C" w:rsidRPr="001F55E7">
        <w:t xml:space="preserve"> van een groot aantal personen met een ernstige handicap</w:t>
      </w:r>
      <w:r w:rsidR="00C41F7C">
        <w:t xml:space="preserve"> </w:t>
      </w:r>
      <w:r w:rsidR="0027622B">
        <w:t xml:space="preserve">van </w:t>
      </w:r>
      <w:r w:rsidR="00C41F7C">
        <w:t xml:space="preserve">toegang tot </w:t>
      </w:r>
      <w:r w:rsidR="00662E08">
        <w:t>opvangcentra</w:t>
      </w:r>
      <w:r w:rsidR="00C41F7C">
        <w:t xml:space="preserve"> of </w:t>
      </w:r>
      <w:r w:rsidR="00942D5D">
        <w:t xml:space="preserve">residentiele </w:t>
      </w:r>
      <w:r w:rsidR="00662E08">
        <w:t>voorzieningen</w:t>
      </w:r>
      <w:r w:rsidR="00942D5D">
        <w:t>.</w:t>
      </w:r>
    </w:p>
    <w:p w:rsidR="00AE1B05" w:rsidRDefault="003F5004" w:rsidP="003F5004">
      <w:pPr>
        <w:pStyle w:val="Lijstalinea"/>
        <w:numPr>
          <w:ilvl w:val="0"/>
          <w:numId w:val="5"/>
        </w:numPr>
      </w:pPr>
      <w:r>
        <w:t xml:space="preserve">maakt bezwaar bij het feit dat </w:t>
      </w:r>
      <w:r w:rsidR="004B3FFF">
        <w:t>de</w:t>
      </w:r>
      <w:r>
        <w:t>Vlaams</w:t>
      </w:r>
      <w:r w:rsidR="004B3FFF">
        <w:t>e</w:t>
      </w:r>
      <w:r>
        <w:t xml:space="preserve"> Gemeenschap de “prioriteit” niet meer baseert op de zorgzwaarte van de persoon met een handicap, maar eerder op de “hoogdringendheid van zorg” met name wanneer de ouders zelf zorgbehoevend worden of overlijden.</w:t>
      </w:r>
    </w:p>
    <w:p w:rsidR="00AE1B05" w:rsidRDefault="00AE1B05">
      <w:pPr>
        <w:jc w:val="left"/>
      </w:pPr>
      <w:r>
        <w:br w:type="page"/>
      </w:r>
    </w:p>
    <w:p w:rsidR="00A97576" w:rsidRPr="001F55E7" w:rsidRDefault="00353608" w:rsidP="007B280A">
      <w:pPr>
        <w:pStyle w:val="Kop2"/>
        <w:rPr>
          <w:caps w:val="0"/>
        </w:rPr>
      </w:pPr>
      <w:r>
        <w:rPr>
          <w:caps w:val="0"/>
        </w:rPr>
        <w:lastRenderedPageBreak/>
        <w:t>INHOUDELIJKE ANALYSE VA</w:t>
      </w:r>
      <w:r>
        <w:rPr>
          <w:caps w:val="0"/>
        </w:rPr>
        <w:tab/>
        <w:t xml:space="preserve">N HET </w:t>
      </w:r>
      <w:r w:rsidR="0074561A">
        <w:rPr>
          <w:caps w:val="0"/>
        </w:rPr>
        <w:t xml:space="preserve">ONTWERP VAN </w:t>
      </w:r>
      <w:r>
        <w:rPr>
          <w:caps w:val="0"/>
        </w:rPr>
        <w:t>PVF-DECREET</w:t>
      </w:r>
    </w:p>
    <w:p w:rsidR="00124E43" w:rsidRDefault="00A97576" w:rsidP="00A97576">
      <w:r>
        <w:t xml:space="preserve">Het Centrum </w:t>
      </w:r>
      <w:r w:rsidR="00327266">
        <w:t>staat</w:t>
      </w:r>
      <w:r>
        <w:t xml:space="preserve"> </w:t>
      </w:r>
      <w:r w:rsidR="00434495">
        <w:t>in</w:t>
      </w:r>
      <w:r w:rsidR="006C399A">
        <w:t xml:space="preserve"> zijn</w:t>
      </w:r>
      <w:r w:rsidR="00434495">
        <w:t xml:space="preserve"> hoedanigheid van onafhankelijk </w:t>
      </w:r>
      <w:r w:rsidR="00200E19">
        <w:t>mechanisme</w:t>
      </w:r>
      <w:r w:rsidR="007D652E">
        <w:t xml:space="preserve"> inzake het VN-verdrag</w:t>
      </w:r>
      <w:r w:rsidR="00327266">
        <w:t xml:space="preserve"> positief tegenover</w:t>
      </w:r>
      <w:r w:rsidR="00200E19">
        <w:t xml:space="preserve"> de beleidsintenties </w:t>
      </w:r>
      <w:r>
        <w:t>van de Vlaamse decreetgever om</w:t>
      </w:r>
      <w:r w:rsidR="007D652E">
        <w:t xml:space="preserve"> inzake </w:t>
      </w:r>
      <w:r>
        <w:t xml:space="preserve">de </w:t>
      </w:r>
      <w:r w:rsidR="00200E19">
        <w:t>ondersteuning</w:t>
      </w:r>
      <w:r>
        <w:t xml:space="preserve"> voor personen met een handica</w:t>
      </w:r>
      <w:r w:rsidR="00124E43">
        <w:t>p:</w:t>
      </w:r>
    </w:p>
    <w:p w:rsidR="00124E43" w:rsidRDefault="00124E43" w:rsidP="00124E43">
      <w:pPr>
        <w:pStyle w:val="Lijstalinea"/>
        <w:numPr>
          <w:ilvl w:val="0"/>
          <w:numId w:val="5"/>
        </w:numPr>
      </w:pPr>
      <w:r>
        <w:t xml:space="preserve">ondersteuning </w:t>
      </w:r>
      <w:r w:rsidR="00A97576">
        <w:t>steeds verde</w:t>
      </w:r>
      <w:r>
        <w:t xml:space="preserve">r </w:t>
      </w:r>
      <w:r w:rsidR="003D0403">
        <w:t>“</w:t>
      </w:r>
      <w:r>
        <w:t>vraaggestuurd</w:t>
      </w:r>
      <w:r w:rsidR="003D0403">
        <w:t>”</w:t>
      </w:r>
      <w:r>
        <w:t xml:space="preserve"> te organiseren;</w:t>
      </w:r>
    </w:p>
    <w:p w:rsidR="00124E43" w:rsidRDefault="00A97576" w:rsidP="00124E43">
      <w:pPr>
        <w:pStyle w:val="Lijstalinea"/>
        <w:numPr>
          <w:ilvl w:val="0"/>
          <w:numId w:val="5"/>
        </w:numPr>
      </w:pPr>
      <w:r>
        <w:t>een bestendig groeipad voor bijkomende ondersteuningsmogelijkheden te voorzien</w:t>
      </w:r>
      <w:r w:rsidR="00F96177">
        <w:t xml:space="preserve"> en het engagement om hierover rekenschap af te leggen</w:t>
      </w:r>
      <w:r w:rsidR="00124E43">
        <w:t>.</w:t>
      </w:r>
    </w:p>
    <w:p w:rsidR="00A97576" w:rsidRDefault="00A97576" w:rsidP="00124E43">
      <w:pPr>
        <w:pStyle w:val="Lijstalinea"/>
        <w:numPr>
          <w:ilvl w:val="0"/>
          <w:numId w:val="5"/>
        </w:numPr>
      </w:pPr>
      <w:r>
        <w:t>systematisch vragen</w:t>
      </w:r>
      <w:r w:rsidR="00124E43">
        <w:t xml:space="preserve"> naar specifieke ondersteuning</w:t>
      </w:r>
      <w:r>
        <w:t xml:space="preserve"> </w:t>
      </w:r>
      <w:r w:rsidR="000549A4">
        <w:t xml:space="preserve">te onderzoeken </w:t>
      </w:r>
      <w:r w:rsidR="00124E43">
        <w:t>v</w:t>
      </w:r>
      <w:r w:rsidR="00F96177">
        <w:t xml:space="preserve">ia een proces van vraagverduidelijking en het </w:t>
      </w:r>
      <w:r w:rsidR="00124E43">
        <w:t xml:space="preserve">meenemen van reguliere, informele en intra-familiale ondersteuning in deze </w:t>
      </w:r>
      <w:r w:rsidR="00AF7E7A">
        <w:t>oriëntering</w:t>
      </w:r>
      <w:r w:rsidR="00434495">
        <w:t>.</w:t>
      </w:r>
    </w:p>
    <w:p w:rsidR="007C0C46" w:rsidRDefault="007C0C46" w:rsidP="007C0C46">
      <w:r>
        <w:t xml:space="preserve">Het Centrum </w:t>
      </w:r>
      <w:r w:rsidR="00951A9C">
        <w:t xml:space="preserve">vindt het </w:t>
      </w:r>
      <w:r w:rsidR="00B0371B">
        <w:t>daarnaast</w:t>
      </w:r>
      <w:r>
        <w:t xml:space="preserve"> </w:t>
      </w:r>
      <w:r w:rsidR="00951A9C">
        <w:t>goed</w:t>
      </w:r>
      <w:r w:rsidR="00A328F3">
        <w:t xml:space="preserve"> dat in de missie van </w:t>
      </w:r>
      <w:r>
        <w:t xml:space="preserve">het VAPH </w:t>
      </w:r>
      <w:r w:rsidR="00DD7B24">
        <w:t xml:space="preserve">(Het Vlaams Agentschap voor </w:t>
      </w:r>
      <w:r w:rsidR="00B0371B">
        <w:t>P</w:t>
      </w:r>
      <w:r w:rsidR="00DD7B24">
        <w:t xml:space="preserve">ersonen met een </w:t>
      </w:r>
      <w:r w:rsidR="00B0371B">
        <w:t>H</w:t>
      </w:r>
      <w:r w:rsidR="00DD7B24">
        <w:t xml:space="preserve">andicap) </w:t>
      </w:r>
      <w:r>
        <w:t xml:space="preserve">ook </w:t>
      </w:r>
      <w:r w:rsidR="00B0371B">
        <w:t xml:space="preserve">vermaatschappelijking </w:t>
      </w:r>
      <w:r>
        <w:t>van de zor</w:t>
      </w:r>
      <w:r w:rsidR="000E1169">
        <w:t xml:space="preserve">g </w:t>
      </w:r>
      <w:r w:rsidR="00A328F3">
        <w:t>en de uitvoering van het VN-verdrag uitdrukkelijk mee opgenomen wordt</w:t>
      </w:r>
      <w:r w:rsidR="000E1169">
        <w:t xml:space="preserve"> </w:t>
      </w:r>
      <w:r w:rsidR="00927586">
        <w:t>(artikel 22 ontwerpdecreet)</w:t>
      </w:r>
      <w:r>
        <w:t>.</w:t>
      </w:r>
    </w:p>
    <w:p w:rsidR="00434495" w:rsidRDefault="00434495" w:rsidP="00200E19">
      <w:r>
        <w:t>Het Centrum toont zich echter bezorgd over:</w:t>
      </w:r>
    </w:p>
    <w:p w:rsidR="00434495" w:rsidRDefault="00353608" w:rsidP="00200E19">
      <w:pPr>
        <w:pStyle w:val="Kop3"/>
      </w:pPr>
      <w:r>
        <w:rPr>
          <w:caps w:val="0"/>
        </w:rPr>
        <w:t>HET CONCEPT VAN EEN BASISONDERSTEUNINGSBUDGET</w:t>
      </w:r>
    </w:p>
    <w:p w:rsidR="003869D0" w:rsidRPr="003869D0" w:rsidRDefault="003869D0" w:rsidP="003869D0">
      <w:r w:rsidRPr="003869D0">
        <w:t xml:space="preserve">Op grond van artikel 2 </w:t>
      </w:r>
      <w:r w:rsidR="00381FE9">
        <w:t>§</w:t>
      </w:r>
      <w:r w:rsidRPr="003869D0">
        <w:t>2 van het ontwerpdecreet is een “basisondersteuningsbudget” een maandelijks forfaitair bedrag, verstrekt in het kader van de Zorgverzekering waarmee een persoon met een handicap met een duidelijke behoefte aan zorg en ondersteuning, niet-medische hulp en ondersteuning en dienstverlening kan bekostigen.</w:t>
      </w:r>
    </w:p>
    <w:p w:rsidR="003869D0" w:rsidRPr="003869D0" w:rsidRDefault="003869D0" w:rsidP="003869D0">
      <w:r w:rsidRPr="003869D0">
        <w:t>Het “basisondersteuningsbudget” is niet gekoppeld aan enige verantwoording van uitgaven.</w:t>
      </w:r>
    </w:p>
    <w:p w:rsidR="003869D0" w:rsidRPr="003869D0" w:rsidRDefault="003869D0" w:rsidP="003869D0">
      <w:r w:rsidRPr="003869D0">
        <w:t xml:space="preserve">Uit bovenstaande elementen komt duidelijk naar voor dat de decreetgever in deze “trap 1” de koppeling wil loslaten tussen aan de ene kant de ondersteuningsnood en aan de andere kant een hierop afgestemde financiële ondersteuning. </w:t>
      </w:r>
    </w:p>
    <w:p w:rsidR="003869D0" w:rsidRPr="003869D0" w:rsidRDefault="003869D0" w:rsidP="003869D0">
      <w:r w:rsidRPr="003869D0">
        <w:t xml:space="preserve">Het Centrum heeft vanuit het VN-verdrag meerdere opmerkingen bij het concept basisondersteuning. Het gaat ons inziens in tegen artikel 28 VN-verdrag welke het recht op sociale bescherming en haar finaliteit duidelijk verwoordt, in die zin dat toegang tot ondersteuning in functie moet staan van aan de handicap en aan de context gerelateerde behoeften (artikel 28 </w:t>
      </w:r>
      <w:r w:rsidR="00381FE9">
        <w:t>§</w:t>
      </w:r>
      <w:r w:rsidRPr="003869D0">
        <w:t>2. a.).</w:t>
      </w:r>
    </w:p>
    <w:p w:rsidR="003869D0" w:rsidRPr="003869D0" w:rsidRDefault="003869D0" w:rsidP="003869D0">
      <w:r w:rsidRPr="003869D0">
        <w:t xml:space="preserve">Het komt ons inziens ook niet ten volle tegemoet aan artikel 19 en meer bepaald bepaling b. ervan. Gezien het niet afgestemd zijn van het basisondersteuningsbudget op de concrete ondersteuningsnood en gezien het niet-afdwingbare karakter van de handicapspecifieke ondersteuning in trap 2, kan er verwacht worden dat een aantal mensen met een handicap voor wie het basisondersteuningsbudget onvoldoende zal zijn, in de feiten geen toegang zal </w:t>
      </w:r>
      <w:r w:rsidRPr="003869D0">
        <w:lastRenderedPageBreak/>
        <w:t>hebben tot de voor hen noodzakelijke ondersteuning ten einde maatschappelijke participatie te faciliteren en uitsluiting/isolement te voorkomen.</w:t>
      </w:r>
    </w:p>
    <w:p w:rsidR="003869D0" w:rsidRPr="003869D0" w:rsidRDefault="00AE1B05" w:rsidP="003869D0">
      <w:r w:rsidRPr="00AE1B05">
        <w:t>Hoewel het voorzien van een forfaitair basisondersteuningsbudget wel een eerste en belangrijke tegemoetkoming kan zijn voor personen met een handicap die het nu zonder ondersteuning moeten stellen, verdient het vanuit het VN-Verdrag aanbeveling om alle ondersteuning voor personen met een handicap gekoppeld te houden aan de individuele ondersteuningsbehoefte. In afwachting van een verdere realisatie van het recht op (noodzakelijke) handicapspecifieke ondersteuning voor alle personen met een handicap, is het daarom aangewezen om ook de basisondersteuning af te stemme</w:t>
      </w:r>
      <w:r>
        <w:t>n op de ondersteuningsbehoefte.</w:t>
      </w:r>
    </w:p>
    <w:p w:rsidR="007B7D8C" w:rsidRPr="003869D0" w:rsidRDefault="00353608" w:rsidP="003869D0">
      <w:pPr>
        <w:pStyle w:val="Kop3"/>
        <w:rPr>
          <w:caps w:val="0"/>
        </w:rPr>
      </w:pPr>
      <w:r>
        <w:rPr>
          <w:caps w:val="0"/>
        </w:rPr>
        <w:t xml:space="preserve">HET </w:t>
      </w:r>
      <w:r w:rsidR="00AE1B05">
        <w:rPr>
          <w:caps w:val="0"/>
        </w:rPr>
        <w:t xml:space="preserve">GEHANTEERDE </w:t>
      </w:r>
      <w:r>
        <w:rPr>
          <w:caps w:val="0"/>
        </w:rPr>
        <w:t>BASI</w:t>
      </w:r>
      <w:r w:rsidR="00C15079">
        <w:rPr>
          <w:caps w:val="0"/>
        </w:rPr>
        <w:t>S</w:t>
      </w:r>
      <w:r>
        <w:rPr>
          <w:caps w:val="0"/>
        </w:rPr>
        <w:t>MODEL VAN DE VIJF CIRKELS VAN ONDERSTEUNING</w:t>
      </w:r>
    </w:p>
    <w:p w:rsidR="00DF1C22" w:rsidRDefault="00393C33" w:rsidP="00393C33">
      <w:r>
        <w:t>Ingevolge de strategische doelstellingen van het Perspectiefplan</w:t>
      </w:r>
      <w:r w:rsidR="005A6319">
        <w:t xml:space="preserve"> 2020</w:t>
      </w:r>
      <w:r>
        <w:t xml:space="preserve"> </w:t>
      </w:r>
      <w:r w:rsidR="0085018C">
        <w:t xml:space="preserve">en de memorie van toelichting bij het ontwerp van decreet </w:t>
      </w:r>
      <w:r>
        <w:t xml:space="preserve">wordt </w:t>
      </w:r>
      <w:r w:rsidR="0085018C">
        <w:t>niet-</w:t>
      </w:r>
      <w:r w:rsidR="00992239">
        <w:t>rechtstreeks</w:t>
      </w:r>
      <w:r w:rsidR="00160655">
        <w:t xml:space="preserve"> toegankelijke en </w:t>
      </w:r>
      <w:r w:rsidR="00992239">
        <w:t>handicap</w:t>
      </w:r>
      <w:r w:rsidR="00160655">
        <w:t xml:space="preserve">specifieke </w:t>
      </w:r>
      <w:r>
        <w:t xml:space="preserve">ondersteuning </w:t>
      </w:r>
      <w:r w:rsidR="00AA242A">
        <w:t xml:space="preserve">prioritair </w:t>
      </w:r>
      <w:r>
        <w:t xml:space="preserve">voorbehouden aan personen met de grootste ondersteuningsnood, een </w:t>
      </w:r>
      <w:r w:rsidR="00160655">
        <w:t>term</w:t>
      </w:r>
      <w:r>
        <w:t xml:space="preserve"> </w:t>
      </w:r>
      <w:r w:rsidR="00247636">
        <w:t>die</w:t>
      </w:r>
      <w:r w:rsidR="00C873D1">
        <w:t xml:space="preserve"> </w:t>
      </w:r>
      <w:r w:rsidR="00DF1C22">
        <w:t>geoperationaliseerd</w:t>
      </w:r>
      <w:r>
        <w:t xml:space="preserve"> wordt als</w:t>
      </w:r>
      <w:r w:rsidR="00DF1C22">
        <w:t xml:space="preserve"> zijnde </w:t>
      </w:r>
      <w:r w:rsidR="00FA1C33">
        <w:t xml:space="preserve">die mensen </w:t>
      </w:r>
      <w:r w:rsidR="00FA1C33" w:rsidRPr="00AA242A">
        <w:rPr>
          <w:i/>
        </w:rPr>
        <w:t xml:space="preserve">“voor wie de </w:t>
      </w:r>
      <w:r w:rsidR="00AA242A" w:rsidRPr="00AA242A">
        <w:rPr>
          <w:i/>
        </w:rPr>
        <w:t>afstand</w:t>
      </w:r>
      <w:r w:rsidR="00FA1C33" w:rsidRPr="00AA242A">
        <w:rPr>
          <w:i/>
        </w:rPr>
        <w:t xml:space="preserve">, de kloof tussen de mogelijkheden van het eigen draagvlak (zelfzorg, mantelzorg, sociaal netwerk reguliere zorg) en de ondersteuningsnood als gevolg van de handicap niet (meer ) te overbruggen valt en precair is of wordt en blijft wanneer er </w:t>
      </w:r>
      <w:r w:rsidR="00AA242A" w:rsidRPr="00AA242A">
        <w:rPr>
          <w:i/>
        </w:rPr>
        <w:t>geen bijkomende of vervangende acties tot ondersteuning worden genomen”</w:t>
      </w:r>
      <w:r w:rsidR="00AA242A">
        <w:rPr>
          <w:rStyle w:val="Voetnootmarkering"/>
          <w:i/>
        </w:rPr>
        <w:footnoteReference w:id="6"/>
      </w:r>
      <w:r w:rsidR="00AA242A">
        <w:t>.</w:t>
      </w:r>
    </w:p>
    <w:p w:rsidR="00393C33" w:rsidRDefault="00DF1C22" w:rsidP="00393C33">
      <w:r>
        <w:t>Meerdere opmerkingen zijn hier</w:t>
      </w:r>
      <w:r w:rsidR="00EE29B8">
        <w:t xml:space="preserve">over </w:t>
      </w:r>
      <w:r>
        <w:t>op grond van het VN-verdrag te maken:</w:t>
      </w:r>
    </w:p>
    <w:p w:rsidR="000A1379" w:rsidRDefault="000F153D" w:rsidP="000F153D">
      <w:r>
        <w:t>E</w:t>
      </w:r>
      <w:r w:rsidR="00DF1C22">
        <w:t xml:space="preserve">r wordt in het voorontwerp </w:t>
      </w:r>
      <w:r>
        <w:t xml:space="preserve">van decreet </w:t>
      </w:r>
      <w:r w:rsidR="00DF1C22">
        <w:t xml:space="preserve">en in </w:t>
      </w:r>
      <w:r w:rsidR="00247636">
        <w:t xml:space="preserve">de </w:t>
      </w:r>
      <w:r w:rsidR="0085018C">
        <w:t xml:space="preserve">memorie van </w:t>
      </w:r>
      <w:r w:rsidR="00DF1C22">
        <w:t xml:space="preserve">toelichting sterk ingezet op </w:t>
      </w:r>
      <w:r w:rsidR="00A01769">
        <w:t xml:space="preserve">maximaal gebruik van </w:t>
      </w:r>
      <w:r w:rsidR="00DF1C22">
        <w:t xml:space="preserve">ondersteuning die regulier en </w:t>
      </w:r>
      <w:r w:rsidR="00247636">
        <w:t xml:space="preserve">door </w:t>
      </w:r>
      <w:r w:rsidR="00DF1C22">
        <w:t>het informele netwer</w:t>
      </w:r>
      <w:r w:rsidR="000A1379">
        <w:t>k kan geboden worden.</w:t>
      </w:r>
    </w:p>
    <w:p w:rsidR="005A6319" w:rsidRDefault="00B26D40" w:rsidP="000F153D">
      <w:r>
        <w:t xml:space="preserve">Vanuit het idee van de </w:t>
      </w:r>
      <w:r w:rsidR="00AE1B05">
        <w:t>“</w:t>
      </w:r>
      <w:r>
        <w:t>vermaatschappelijking van de zorg</w:t>
      </w:r>
      <w:r w:rsidR="00AE1B05">
        <w:t>”</w:t>
      </w:r>
      <w:r w:rsidR="00F10954">
        <w:t xml:space="preserve"> – waarbij ondersteuning geboden wordt midden </w:t>
      </w:r>
      <w:r w:rsidR="007E532A">
        <w:t>de</w:t>
      </w:r>
      <w:r w:rsidR="00F10954">
        <w:t xml:space="preserve"> maatschappij en met inzet </w:t>
      </w:r>
      <w:r w:rsidR="007E532A">
        <w:t>vanuit de brede</w:t>
      </w:r>
      <w:r w:rsidR="00F10954">
        <w:t xml:space="preserve"> samenleving –</w:t>
      </w:r>
      <w:r>
        <w:t xml:space="preserve"> is het zeker verdedigbaar te </w:t>
      </w:r>
      <w:r w:rsidR="008001ED">
        <w:t>zoeken</w:t>
      </w:r>
      <w:r>
        <w:t xml:space="preserve"> naar </w:t>
      </w:r>
      <w:r w:rsidR="00455B65">
        <w:t xml:space="preserve">de inzet van </w:t>
      </w:r>
      <w:r>
        <w:t>niet-</w:t>
      </w:r>
      <w:r w:rsidR="00AA242A">
        <w:t>handicap</w:t>
      </w:r>
      <w:r w:rsidR="008001ED">
        <w:t>specifieke ondersteuning wanneer dit kan</w:t>
      </w:r>
      <w:r w:rsidR="00AA242A">
        <w:t xml:space="preserve"> en deze ook te faciliteren</w:t>
      </w:r>
      <w:r>
        <w:t xml:space="preserve">. Echter, informele </w:t>
      </w:r>
      <w:r w:rsidR="00E94B86">
        <w:t>(en reguliere</w:t>
      </w:r>
      <w:r w:rsidR="00AE1B05">
        <w:t>)</w:t>
      </w:r>
      <w:r w:rsidR="00E94B86">
        <w:t xml:space="preserve"> zorg dienen </w:t>
      </w:r>
      <w:r w:rsidR="00AA242A">
        <w:t xml:space="preserve">op grond van het VN-verdrag </w:t>
      </w:r>
      <w:r w:rsidR="007D0EEE">
        <w:t xml:space="preserve">altijd </w:t>
      </w:r>
      <w:r w:rsidR="00E94B86">
        <w:t>aan te sluiten</w:t>
      </w:r>
      <w:r>
        <w:t xml:space="preserve"> bij de keuzevrijheid van de persoon</w:t>
      </w:r>
      <w:r w:rsidR="007D0EEE">
        <w:t xml:space="preserve"> met een handicap (en diens </w:t>
      </w:r>
      <w:r w:rsidR="00D128E9">
        <w:t>netwerk</w:t>
      </w:r>
      <w:r w:rsidR="007D0EEE">
        <w:t>)</w:t>
      </w:r>
      <w:r w:rsidR="005A6319">
        <w:t xml:space="preserve"> en </w:t>
      </w:r>
      <w:r w:rsidR="007D0EEE">
        <w:t>het beoogde</w:t>
      </w:r>
      <w:r w:rsidR="005A6319">
        <w:t xml:space="preserve"> levensproject.</w:t>
      </w:r>
    </w:p>
    <w:p w:rsidR="00992239" w:rsidRDefault="003F5004" w:rsidP="00992239">
      <w:r>
        <w:t>N</w:t>
      </w:r>
      <w:r w:rsidR="00E805DC">
        <w:t>iet-</w:t>
      </w:r>
      <w:r w:rsidR="00992239">
        <w:t>rechtstreeks</w:t>
      </w:r>
      <w:r w:rsidR="00EB38A7">
        <w:t xml:space="preserve"> toegankelijke handicapspecifieke o</w:t>
      </w:r>
      <w:r w:rsidR="00992239">
        <w:t>ndersteuning moet complementair zijn aan ondersteuning</w:t>
      </w:r>
      <w:r w:rsidR="00247636">
        <w:t xml:space="preserve"> door het netwerk van de persoon</w:t>
      </w:r>
      <w:r w:rsidR="00992239">
        <w:t xml:space="preserve">, en </w:t>
      </w:r>
      <w:r w:rsidR="00AA242A">
        <w:t xml:space="preserve">mogen </w:t>
      </w:r>
      <w:r w:rsidR="00992239">
        <w:t xml:space="preserve">in geen geval subsidiair hieraan beschouwd worden. Het </w:t>
      </w:r>
      <w:r w:rsidR="00247636">
        <w:t xml:space="preserve">Centrum meent dat het </w:t>
      </w:r>
      <w:r w:rsidR="00992239">
        <w:t>vrijwillig karakter van mantelzorg dient gevrijwaard te worden, zowel voor de mantelzorger</w:t>
      </w:r>
      <w:r w:rsidR="00C873D1">
        <w:t xml:space="preserve"> zelf</w:t>
      </w:r>
      <w:r w:rsidR="00992239">
        <w:t xml:space="preserve"> als diegene die</w:t>
      </w:r>
      <w:r w:rsidR="00247636">
        <w:t xml:space="preserve"> kiest voor</w:t>
      </w:r>
      <w:r w:rsidR="00992239">
        <w:t xml:space="preserve"> mantelzorg</w:t>
      </w:r>
      <w:r w:rsidR="00D128E9">
        <w:t xml:space="preserve"> (zie ook artikel 28 </w:t>
      </w:r>
      <w:r w:rsidR="00247636">
        <w:t>§</w:t>
      </w:r>
      <w:r w:rsidR="00D128E9">
        <w:t>2 c.)</w:t>
      </w:r>
      <w:r w:rsidR="00992239">
        <w:t>.</w:t>
      </w:r>
    </w:p>
    <w:p w:rsidR="003869D0" w:rsidRDefault="00C40D8E" w:rsidP="000F153D">
      <w:r>
        <w:lastRenderedPageBreak/>
        <w:t xml:space="preserve">Een van de opmerkingen </w:t>
      </w:r>
      <w:r w:rsidR="005A6319">
        <w:t xml:space="preserve">in de veroordeling van België en haar deelgebieden </w:t>
      </w:r>
      <w:r>
        <w:t xml:space="preserve">van het Europees Comité </w:t>
      </w:r>
      <w:r w:rsidR="00B157B2">
        <w:t xml:space="preserve">voor sociale rechten </w:t>
      </w:r>
      <w:r w:rsidR="00992239">
        <w:t xml:space="preserve">op 26 maart 2013 </w:t>
      </w:r>
      <w:r>
        <w:t>gaat ook in</w:t>
      </w:r>
      <w:r w:rsidR="007D0EEE">
        <w:t xml:space="preserve"> op </w:t>
      </w:r>
      <w:r w:rsidR="00C15079">
        <w:t>het</w:t>
      </w:r>
      <w:r w:rsidR="007D0EEE">
        <w:t xml:space="preserve"> </w:t>
      </w:r>
      <w:r w:rsidR="00527221">
        <w:t xml:space="preserve">verdisconteren van mantelzorg bij </w:t>
      </w:r>
      <w:r w:rsidR="00D128E9">
        <w:t>prioriteitsstelling</w:t>
      </w:r>
      <w:r>
        <w:t>, door haar bezwaar</w:t>
      </w:r>
      <w:r w:rsidR="00FF6983">
        <w:t xml:space="preserve"> tegen het Vlaams beleid om </w:t>
      </w:r>
      <w:r w:rsidR="00523886">
        <w:t>“</w:t>
      </w:r>
      <w:r w:rsidR="00FF6983">
        <w:t>hoogdringendheid</w:t>
      </w:r>
      <w:r w:rsidR="00523886">
        <w:t>”</w:t>
      </w:r>
      <w:r w:rsidR="00FF6983">
        <w:t xml:space="preserve"> </w:t>
      </w:r>
      <w:r w:rsidR="00C873D1">
        <w:t xml:space="preserve">(onder meer gekoppeld aan de aanwezigheid en gezondheidstoestand van het netwerk) </w:t>
      </w:r>
      <w:r w:rsidR="00FF6983">
        <w:t xml:space="preserve">als </w:t>
      </w:r>
      <w:r w:rsidR="00D128E9">
        <w:t>grond</w:t>
      </w:r>
      <w:r w:rsidR="00FF6983">
        <w:t xml:space="preserve"> </w:t>
      </w:r>
      <w:r w:rsidR="00992239">
        <w:t>te nemen</w:t>
      </w:r>
      <w:r w:rsidR="00CE0336">
        <w:t xml:space="preserve"> voor prioriteit</w:t>
      </w:r>
      <w:r w:rsidR="00D128E9">
        <w:t>sstelling</w:t>
      </w:r>
      <w:r w:rsidR="00CE0336">
        <w:t>.</w:t>
      </w:r>
    </w:p>
    <w:p w:rsidR="00CE0336" w:rsidRPr="00EB38A7" w:rsidRDefault="00353608" w:rsidP="00EB38A7">
      <w:pPr>
        <w:pStyle w:val="Kop3"/>
      </w:pPr>
      <w:r w:rsidRPr="00EB38A7">
        <w:rPr>
          <w:caps w:val="0"/>
        </w:rPr>
        <w:t>DE BESTEDINGSVRIJHEID VAN EEN BUDGET PERSOONSVOLGENDE FINANCIERING</w:t>
      </w:r>
    </w:p>
    <w:p w:rsidR="002214B8" w:rsidRDefault="00EB38A7" w:rsidP="000F153D">
      <w:r>
        <w:t xml:space="preserve">Op grond van het artikel 12 is de bestedingsvrijheid van een voucher beperkt. Het kan enkel ingezet worden bij door het VAPH erkende voorzieningen en diensten. </w:t>
      </w:r>
      <w:r w:rsidR="002214B8">
        <w:t xml:space="preserve">Ook voor cash-budget wordt bepaald dat de bestedingsmodaliteiten nog nader zullen worden </w:t>
      </w:r>
      <w:r w:rsidR="003A6070">
        <w:t>vastgelegd</w:t>
      </w:r>
      <w:r w:rsidR="002214B8">
        <w:t>.</w:t>
      </w:r>
    </w:p>
    <w:p w:rsidR="00C873D1" w:rsidRDefault="002214B8" w:rsidP="000F153D">
      <w:r>
        <w:t>We wensen in dit verband</w:t>
      </w:r>
      <w:r w:rsidR="00D328B1">
        <w:t xml:space="preserve"> op te merken dat het VN-verdrag inperking van de bestedingsvrijheid van handicapspecifiek toegekende middelen </w:t>
      </w:r>
      <w:r w:rsidR="007D0EEE">
        <w:t xml:space="preserve">als dusdanig </w:t>
      </w:r>
      <w:r w:rsidR="00D328B1">
        <w:t>niet steunt.</w:t>
      </w:r>
    </w:p>
    <w:p w:rsidR="00D328B1" w:rsidRDefault="009665C3" w:rsidP="000F153D">
      <w:r>
        <w:t xml:space="preserve">Bovendien zou het ontvangen </w:t>
      </w:r>
      <w:r w:rsidR="00C873D1">
        <w:t xml:space="preserve">persoonsvolgende </w:t>
      </w:r>
      <w:r>
        <w:t xml:space="preserve">budget ingezet moeten kunnen worden over de </w:t>
      </w:r>
      <w:r w:rsidR="00F10954">
        <w:t xml:space="preserve">vijf </w:t>
      </w:r>
      <w:r>
        <w:t>cirkels van ondersteuning, waarbij een combinatie van financiering van ondersteuning uit het eigen netwerk</w:t>
      </w:r>
      <w:r w:rsidR="00527221">
        <w:t>, reguliere ondersteuning</w:t>
      </w:r>
      <w:r>
        <w:t xml:space="preserve"> en van handicapspecifieke ondersteuning mogelijk is.</w:t>
      </w:r>
    </w:p>
    <w:p w:rsidR="00EB38A7" w:rsidRDefault="00D328B1" w:rsidP="000F153D">
      <w:r>
        <w:t xml:space="preserve">Voor het VN-verdrag is het ondersteunen van het gekozen en uitgewerkte levensproject </w:t>
      </w:r>
      <w:r w:rsidR="002214B8">
        <w:t xml:space="preserve">in functie van maatschappelijke participatie </w:t>
      </w:r>
      <w:r w:rsidR="00F1097F">
        <w:t xml:space="preserve">het te bereiken </w:t>
      </w:r>
      <w:r w:rsidR="002214B8">
        <w:t>doel</w:t>
      </w:r>
      <w:r w:rsidR="00490AF3">
        <w:t>.</w:t>
      </w:r>
      <w:r w:rsidR="009665C3">
        <w:t xml:space="preserve"> </w:t>
      </w:r>
      <w:r>
        <w:t xml:space="preserve">Waar niet-erkende ondersteuningsvormen en </w:t>
      </w:r>
      <w:r w:rsidR="00850BB4">
        <w:t>-</w:t>
      </w:r>
      <w:r>
        <w:t xml:space="preserve">mogelijkheden een </w:t>
      </w:r>
      <w:r w:rsidR="002214B8">
        <w:t>kwalitatie</w:t>
      </w:r>
      <w:r w:rsidR="007D0EEE">
        <w:t>f evenwaardige</w:t>
      </w:r>
      <w:r w:rsidR="002214B8">
        <w:t xml:space="preserve"> </w:t>
      </w:r>
      <w:r>
        <w:t>oplossing kunnen bieden moeten deze ingeroepen</w:t>
      </w:r>
      <w:r w:rsidR="002214B8">
        <w:t xml:space="preserve"> en vergoed</w:t>
      </w:r>
      <w:r>
        <w:t xml:space="preserve"> kunnen worden. Het VN-verdrag erkent </w:t>
      </w:r>
      <w:r w:rsidR="00490AF3">
        <w:t xml:space="preserve">in dit verband </w:t>
      </w:r>
      <w:r w:rsidR="00C873D1">
        <w:t xml:space="preserve">trouwens </w:t>
      </w:r>
      <w:r w:rsidR="0085018C">
        <w:t xml:space="preserve">uitdrukkelijk </w:t>
      </w:r>
      <w:r w:rsidR="00490AF3">
        <w:t xml:space="preserve">het recht op </w:t>
      </w:r>
      <w:r w:rsidR="002214B8">
        <w:t>persoonlijke assistentie</w:t>
      </w:r>
      <w:r w:rsidR="007D0EEE">
        <w:t xml:space="preserve">, </w:t>
      </w:r>
      <w:r w:rsidR="00490AF3">
        <w:t>zijnde het recht op maximale keuze en controle over wie en hoe ondersteuningstaken zullen worden opgenomen.</w:t>
      </w:r>
      <w:r w:rsidR="001B07AB">
        <w:rPr>
          <w:rStyle w:val="Voetnootmarkering"/>
        </w:rPr>
        <w:footnoteReference w:id="7"/>
      </w:r>
    </w:p>
    <w:p w:rsidR="003F5004" w:rsidRPr="00393C33" w:rsidRDefault="003F5004" w:rsidP="003F5004">
      <w:pPr>
        <w:pStyle w:val="Kop3"/>
      </w:pPr>
      <w:r>
        <w:rPr>
          <w:caps w:val="0"/>
        </w:rPr>
        <w:t>DE KEUZE TUSSEN EEN VOUCHER EN EEN CASHBUDGET</w:t>
      </w:r>
    </w:p>
    <w:p w:rsidR="003F5004" w:rsidRDefault="003F5004" w:rsidP="003F5004">
      <w:r>
        <w:t xml:space="preserve">Persoonsvolgende financiering wordt ingevolge het voorliggend ontwerp van decreet </w:t>
      </w:r>
      <w:r w:rsidR="00F10954">
        <w:t xml:space="preserve">het financieringsmechanisme </w:t>
      </w:r>
      <w:r>
        <w:t>van handicapspecifieke ondersteuning. Een budget kan ofwel in cash of via een voucher worden toegekend. Een mengvorm tussen voucher en cash is ook mogelijk.</w:t>
      </w:r>
    </w:p>
    <w:p w:rsidR="003F5004" w:rsidRDefault="003F5004" w:rsidP="003F5004">
      <w:r>
        <w:t>Op grond van het VN-verdrag kunnen we over deze bepalingen het volgende zeggen:</w:t>
      </w:r>
    </w:p>
    <w:p w:rsidR="003F5004" w:rsidRDefault="003F5004" w:rsidP="003F5004">
      <w:pPr>
        <w:pStyle w:val="Lijstalinea"/>
        <w:numPr>
          <w:ilvl w:val="0"/>
          <w:numId w:val="5"/>
        </w:numPr>
      </w:pPr>
      <w:r>
        <w:t>Het VN-verdrag steunt</w:t>
      </w:r>
      <w:r w:rsidR="00F10954">
        <w:t xml:space="preserve"> </w:t>
      </w:r>
      <w:r>
        <w:t xml:space="preserve">op zich de beleidskeuze niet om de besteding van een voucher voor te behouden bij door het VAPH erkende zorg- en ondersteuningsaanbieders. Vanuit het emancipatorisch benaderen van personen met een handicap en vanuit de bezorgdheid maximale keuze en controle te bieden rond hoe en met wie te leven </w:t>
      </w:r>
      <w:r>
        <w:lastRenderedPageBreak/>
        <w:t xml:space="preserve">ondersteunt het VN-verdrag het inzetten (en financieren) van </w:t>
      </w:r>
      <w:r w:rsidR="00CB5533">
        <w:t>gemeenschapsgebaseerde en reguliere ondersteuningsmogelijkheden waar dit mogelijk is</w:t>
      </w:r>
      <w:r>
        <w:t>.</w:t>
      </w:r>
    </w:p>
    <w:p w:rsidR="003F5004" w:rsidRPr="00A46914" w:rsidRDefault="003F5004" w:rsidP="003F5004">
      <w:pPr>
        <w:pStyle w:val="Lijstalinea"/>
        <w:numPr>
          <w:ilvl w:val="0"/>
          <w:numId w:val="5"/>
        </w:numPr>
      </w:pPr>
      <w:r>
        <w:t xml:space="preserve">Het recht op omzetting van een cash-budget in een voucher (en omgekeerd) zou uitsluitend voorbehouden moeten zijn aan personen met een handicap zelf, behoudens indien een rechter hierrond beperkingen oplegt. Diegenen die een cash-budget niet zelfstandig kunnen beheren, </w:t>
      </w:r>
      <w:r w:rsidR="008519BA">
        <w:t xml:space="preserve">zouden </w:t>
      </w:r>
      <w:r>
        <w:t xml:space="preserve">het recht op cash-budget niet ambtshalve ontnomen </w:t>
      </w:r>
      <w:r w:rsidR="008519BA">
        <w:t xml:space="preserve">mogen </w:t>
      </w:r>
      <w:r>
        <w:t>worden (</w:t>
      </w:r>
      <w:r w:rsidR="008519BA">
        <w:t>cfr. beschreven procedure</w:t>
      </w:r>
      <w:r>
        <w:t xml:space="preserve"> in artikel 10 §3 van het ontwerpdecreet). In de geest van artikel 12 en artikel 19 dienen betrokken persoon op verzoek </w:t>
      </w:r>
      <w:r w:rsidR="00B9182B">
        <w:t xml:space="preserve">of na vaststelling van problemen </w:t>
      </w:r>
      <w:r>
        <w:t>passend ondersteund te worden om met een cash budget om te kunnen gaan. Het Centrum wenst hierbij</w:t>
      </w:r>
      <w:r w:rsidR="0050068A">
        <w:t xml:space="preserve"> ook</w:t>
      </w:r>
      <w:r>
        <w:t xml:space="preserve"> te verwijzen naar de w</w:t>
      </w:r>
      <w:r w:rsidRPr="00A46914">
        <w:t>et tot hervorming van de regelingen inzake onbekwaamheid en tot instelling van een nieuwe beschermingsstatus die strookt met de menselijke waardigheid</w:t>
      </w:r>
      <w:r>
        <w:t xml:space="preserve"> van 17 maart 2013 en het advies dat het Centrum hierbij geformuleerd heeft.</w:t>
      </w:r>
    </w:p>
    <w:p w:rsidR="00956851" w:rsidRDefault="009665C3" w:rsidP="00956851">
      <w:pPr>
        <w:pStyle w:val="Kop3"/>
      </w:pPr>
      <w:r>
        <w:rPr>
          <w:caps w:val="0"/>
        </w:rPr>
        <w:t xml:space="preserve">DE </w:t>
      </w:r>
      <w:r w:rsidR="00353608">
        <w:rPr>
          <w:caps w:val="0"/>
        </w:rPr>
        <w:t>INSPRAAKPOSITIE EN RECHTSBESCHERMING VAN MEERDERJARIGEN BINNEN “REGIONALE PRIORITEITENCOMMISSIES” EN VAN MINDERJARIGEN BINNEN DE “TOEGANGSPOORT INTEGRALE JEUGDHULP”</w:t>
      </w:r>
    </w:p>
    <w:p w:rsidR="00946720" w:rsidRDefault="00455B65" w:rsidP="000F153D">
      <w:r>
        <w:t xml:space="preserve">Binnen het hoofdstuk 6 van het ontwerp van decreet wordt </w:t>
      </w:r>
      <w:r w:rsidR="00946720">
        <w:t xml:space="preserve">voor volwassen </w:t>
      </w:r>
      <w:r w:rsidR="00AE4BAF">
        <w:t xml:space="preserve">personen met een handicap </w:t>
      </w:r>
      <w:r>
        <w:t>zorgregie beschreven</w:t>
      </w:r>
      <w:r w:rsidR="00AE4BAF">
        <w:t>.</w:t>
      </w:r>
      <w:r w:rsidR="001364CB">
        <w:t xml:space="preserve"> </w:t>
      </w:r>
      <w:r w:rsidR="00946720">
        <w:t>Provinciaal georganiseerde</w:t>
      </w:r>
      <w:r w:rsidR="001364CB">
        <w:t xml:space="preserve"> prioriteitencommissies dienen personen die in aanmerking komen voor een </w:t>
      </w:r>
      <w:r w:rsidR="002217C1">
        <w:t xml:space="preserve">budget </w:t>
      </w:r>
      <w:r w:rsidR="00AE4BAF">
        <w:t>niet rechtstreeks toegankelijke</w:t>
      </w:r>
      <w:r w:rsidR="001364CB">
        <w:t xml:space="preserve"> ondersteuning te selecteren. Het </w:t>
      </w:r>
      <w:r w:rsidR="001364CB" w:rsidRPr="00CC5EFF">
        <w:t>Besluit van de Vlaamse Regering van 17 maart 2006 betreffende de regie van de zorg en bijstand tot sociale integratie van personen met een handicap</w:t>
      </w:r>
      <w:r w:rsidR="002217C1" w:rsidRPr="00CC5EFF">
        <w:t xml:space="preserve">, gewijzigd bij BVR van 18 februari 2011, stipuleert dat </w:t>
      </w:r>
      <w:r w:rsidR="00AE4BAF">
        <w:t xml:space="preserve">vertegenwoordigers van verenigingen voor </w:t>
      </w:r>
      <w:r w:rsidR="002217C1" w:rsidRPr="00CC5EFF">
        <w:t>personen met een handicap, voorzieningen</w:t>
      </w:r>
      <w:r w:rsidR="00AE4BAF">
        <w:t xml:space="preserve"> &amp;</w:t>
      </w:r>
      <w:r w:rsidR="002217C1" w:rsidRPr="00CC5EFF">
        <w:t xml:space="preserve"> diensten van het VAPH en verwijzende instanties deel uitmaken van de regionale </w:t>
      </w:r>
      <w:r w:rsidR="00CC5EFF" w:rsidRPr="00CC5EFF">
        <w:t>prioriteiten</w:t>
      </w:r>
      <w:r w:rsidR="00CC5EFF">
        <w:t>comm</w:t>
      </w:r>
      <w:r w:rsidR="00CC5EFF" w:rsidRPr="00CC5EFF">
        <w:t>issies</w:t>
      </w:r>
      <w:r w:rsidR="002217C1" w:rsidRPr="00CC5EFF">
        <w:t>. Artikel 47</w:t>
      </w:r>
      <w:r w:rsidR="00AD451E">
        <w:t xml:space="preserve"> §</w:t>
      </w:r>
      <w:r w:rsidR="002217C1" w:rsidRPr="00CC5EFF">
        <w:t xml:space="preserve">2 </w:t>
      </w:r>
      <w:r w:rsidR="00D128E9">
        <w:t xml:space="preserve">van het zelfde besluit </w:t>
      </w:r>
      <w:r w:rsidR="002217C1" w:rsidRPr="00CC5EFF">
        <w:t xml:space="preserve">stipuleert dan weer dat personen met een handicap binnen processen van zorgregie </w:t>
      </w:r>
      <w:r w:rsidR="00AE4BAF">
        <w:t xml:space="preserve">enkel </w:t>
      </w:r>
      <w:r w:rsidR="002217C1" w:rsidRPr="00CC5EFF">
        <w:t xml:space="preserve">vertegenwoordigd worden door </w:t>
      </w:r>
      <w:r w:rsidR="00AE4BAF">
        <w:t xml:space="preserve">zogeheten </w:t>
      </w:r>
      <w:r w:rsidR="000352D8">
        <w:t>“</w:t>
      </w:r>
      <w:r w:rsidR="002217C1" w:rsidRPr="00CC5EFF">
        <w:t>contactpersonen zorgregie</w:t>
      </w:r>
      <w:r w:rsidR="000352D8">
        <w:t>”</w:t>
      </w:r>
      <w:r w:rsidR="002401BF">
        <w:rPr>
          <w:rStyle w:val="Voetnootmarkering"/>
        </w:rPr>
        <w:footnoteReference w:id="8"/>
      </w:r>
      <w:r w:rsidR="002217C1" w:rsidRPr="00CC5EFF">
        <w:t>.</w:t>
      </w:r>
    </w:p>
    <w:p w:rsidR="00013E30" w:rsidRDefault="00013E30" w:rsidP="000F153D">
      <w:r>
        <w:t xml:space="preserve">In artikel 17 van het decreet van </w:t>
      </w:r>
      <w:r w:rsidR="00FC43EE">
        <w:t>12</w:t>
      </w:r>
      <w:r>
        <w:t xml:space="preserve"> juli 2013 </w:t>
      </w:r>
      <w:r w:rsidR="00AE4BAF">
        <w:t>betreffende de integrale jeugdhulp [</w:t>
      </w:r>
      <w:r w:rsidR="00B9182B">
        <w:t>gepubliceerd op 13 september 2013</w:t>
      </w:r>
      <w:r w:rsidR="00AE4BAF">
        <w:t>]</w:t>
      </w:r>
      <w:r w:rsidR="00A05071">
        <w:t xml:space="preserve"> </w:t>
      </w:r>
      <w:r>
        <w:t xml:space="preserve">staat voor toegang tot niet rechtstreekse jeugdhulpverlening, met inbegrip van deze die zich richt tot minderjarige personen met een handicap, </w:t>
      </w:r>
      <w:r w:rsidR="005172F9">
        <w:t xml:space="preserve">de werking van de </w:t>
      </w:r>
      <w:r w:rsidR="00AE4BAF">
        <w:t xml:space="preserve">zogenaamde </w:t>
      </w:r>
      <w:r w:rsidR="005172F9">
        <w:t>toegang</w:t>
      </w:r>
      <w:r w:rsidR="00FC43EE">
        <w:t>s</w:t>
      </w:r>
      <w:r w:rsidR="005172F9">
        <w:t xml:space="preserve">poort beschreven. De toegangspoort beheert </w:t>
      </w:r>
      <w:r w:rsidR="00F1097F">
        <w:t xml:space="preserve">onder meer </w:t>
      </w:r>
      <w:r w:rsidR="005172F9">
        <w:t xml:space="preserve">de aanvragen tot niet rechtstreeks toegankelijke ondersteuning </w:t>
      </w:r>
      <w:r w:rsidR="00F1097F">
        <w:t xml:space="preserve">ten laste van het VAPH </w:t>
      </w:r>
      <w:r w:rsidR="005172F9">
        <w:t xml:space="preserve">en voert hiervan ook de regie. Er is </w:t>
      </w:r>
      <w:r w:rsidR="00AE4BAF">
        <w:t>binnen de proce</w:t>
      </w:r>
      <w:r w:rsidR="00EC5B25">
        <w:t xml:space="preserve">dure toegangspoort </w:t>
      </w:r>
      <w:r w:rsidR="005172F9">
        <w:lastRenderedPageBreak/>
        <w:t xml:space="preserve">geen rechtstreeks overleg met de betrokken </w:t>
      </w:r>
      <w:r w:rsidR="00956851">
        <w:t>minderjarige</w:t>
      </w:r>
      <w:r w:rsidR="005172F9">
        <w:t xml:space="preserve"> personen met een handicap of hun ouders.</w:t>
      </w:r>
      <w:r w:rsidR="00837AE3">
        <w:t xml:space="preserve"> Alle communicatie loopt via hulpverleners.</w:t>
      </w:r>
    </w:p>
    <w:p w:rsidR="006C1957" w:rsidRDefault="002217C1" w:rsidP="000F153D">
      <w:r w:rsidRPr="00CC5EFF">
        <w:t xml:space="preserve">Het Centrum heeft </w:t>
      </w:r>
      <w:r w:rsidR="00AD451E">
        <w:t xml:space="preserve">bedenkingen bij </w:t>
      </w:r>
      <w:r w:rsidR="002E6801">
        <w:t xml:space="preserve">de </w:t>
      </w:r>
      <w:r w:rsidR="002214B8">
        <w:t xml:space="preserve">geboden </w:t>
      </w:r>
      <w:r w:rsidR="002E6801">
        <w:t>inspraakmogelijkheden en rechtsbescherming</w:t>
      </w:r>
      <w:r w:rsidR="002214B8">
        <w:t xml:space="preserve"> van personen met een handicap</w:t>
      </w:r>
      <w:r w:rsidR="00F10954">
        <w:t xml:space="preserve"> binnen</w:t>
      </w:r>
      <w:r w:rsidR="002E6801">
        <w:t xml:space="preserve"> </w:t>
      </w:r>
      <w:r w:rsidR="00962F39">
        <w:t xml:space="preserve">de procedures van zorgregie </w:t>
      </w:r>
      <w:r w:rsidR="006F2064">
        <w:t>maar ook binnen</w:t>
      </w:r>
      <w:r w:rsidR="00962F39">
        <w:t xml:space="preserve"> de procedure “</w:t>
      </w:r>
      <w:r w:rsidR="00EE29B8">
        <w:t>toegangspoort</w:t>
      </w:r>
      <w:r w:rsidR="00962F39">
        <w:t xml:space="preserve"> </w:t>
      </w:r>
      <w:r w:rsidR="00CB5533">
        <w:t>Integrale Jeugd</w:t>
      </w:r>
      <w:r w:rsidR="00962F39">
        <w:t>hulp</w:t>
      </w:r>
      <w:r w:rsidR="00EC5B25">
        <w:t>”</w:t>
      </w:r>
      <w:r w:rsidR="00962F39">
        <w:t>.</w:t>
      </w:r>
    </w:p>
    <w:p w:rsidR="00ED4364" w:rsidRDefault="00CC5EFF" w:rsidP="000F153D">
      <w:r w:rsidRPr="00CC5EFF">
        <w:t xml:space="preserve">Op grond van overweging </w:t>
      </w:r>
      <w:r w:rsidR="00B9182B">
        <w:t>“</w:t>
      </w:r>
      <w:r w:rsidRPr="00CC5EFF">
        <w:t>o</w:t>
      </w:r>
      <w:r w:rsidR="00B9182B">
        <w:t>”</w:t>
      </w:r>
      <w:r w:rsidR="006F2064">
        <w:t xml:space="preserve"> </w:t>
      </w:r>
      <w:r w:rsidR="00AD451E">
        <w:t xml:space="preserve">in de preambule </w:t>
      </w:r>
      <w:r w:rsidR="006F2064">
        <w:t>van het VN-verdrag</w:t>
      </w:r>
      <w:r w:rsidR="00D128E9">
        <w:t xml:space="preserve"> –</w:t>
      </w:r>
      <w:r w:rsidRPr="00CC5EFF">
        <w:t xml:space="preserve"> dat actieve beleidsparticipatie van personen met een handicap</w:t>
      </w:r>
      <w:r w:rsidR="00946720">
        <w:t xml:space="preserve"> zelf</w:t>
      </w:r>
      <w:r w:rsidR="007B64AD">
        <w:t>,</w:t>
      </w:r>
      <w:r w:rsidRPr="00CC5EFF">
        <w:t xml:space="preserve"> </w:t>
      </w:r>
      <w:r w:rsidR="00AD451E">
        <w:t xml:space="preserve">in </w:t>
      </w:r>
      <w:r w:rsidRPr="00CC5EFF">
        <w:t xml:space="preserve">het bijzonder in de </w:t>
      </w:r>
      <w:r>
        <w:t>beleids- en besluit</w:t>
      </w:r>
      <w:r w:rsidR="000F153D">
        <w:t>vorming</w:t>
      </w:r>
      <w:r>
        <w:t>s</w:t>
      </w:r>
      <w:r w:rsidRPr="00CC5EFF">
        <w:t>pro</w:t>
      </w:r>
      <w:r w:rsidR="006F2064">
        <w:t>cessen die hen zelf aanbelangen, voorstaat –</w:t>
      </w:r>
      <w:r w:rsidRPr="00CC5EFF">
        <w:t xml:space="preserve"> alsmede op grond van de algemene principes van het VN-verdrag (artikel 3) en de bepalingen van artikel 12</w:t>
      </w:r>
      <w:r w:rsidR="007B64AD">
        <w:t xml:space="preserve"> VN-verdrag</w:t>
      </w:r>
      <w:r w:rsidRPr="00CC5EFF">
        <w:t xml:space="preserve"> </w:t>
      </w:r>
      <w:r w:rsidR="006F2064">
        <w:t xml:space="preserve">dienen maximale kansen </w:t>
      </w:r>
      <w:r w:rsidR="00AD451E">
        <w:t xml:space="preserve">geboden te worden </w:t>
      </w:r>
      <w:r w:rsidR="006F2064">
        <w:t>to</w:t>
      </w:r>
      <w:r w:rsidR="00EC5B25">
        <w:t>t</w:t>
      </w:r>
      <w:r w:rsidR="006F2064">
        <w:t xml:space="preserve"> zelfvertegenwoordiging of</w:t>
      </w:r>
      <w:r w:rsidR="007B64AD">
        <w:t xml:space="preserve"> –</w:t>
      </w:r>
      <w:r w:rsidR="00837AE3">
        <w:t xml:space="preserve"> </w:t>
      </w:r>
      <w:r w:rsidR="006F2064">
        <w:t>wanneer dit</w:t>
      </w:r>
      <w:r w:rsidR="00837AE3">
        <w:t xml:space="preserve"> om </w:t>
      </w:r>
      <w:r w:rsidR="00D128E9">
        <w:t>organisatorische</w:t>
      </w:r>
      <w:r w:rsidR="00837AE3">
        <w:t xml:space="preserve"> redenen </w:t>
      </w:r>
      <w:r w:rsidR="00D128E9">
        <w:t xml:space="preserve">of beleidsoverwegingen </w:t>
      </w:r>
      <w:r w:rsidR="00837AE3">
        <w:t>niet mogelijk is</w:t>
      </w:r>
      <w:r w:rsidR="00D128E9">
        <w:t xml:space="preserve"> –</w:t>
      </w:r>
      <w:r w:rsidR="00837AE3">
        <w:t xml:space="preserve"> maximale </w:t>
      </w:r>
      <w:r w:rsidR="00962F39">
        <w:t xml:space="preserve">keuzevrijheid </w:t>
      </w:r>
      <w:r w:rsidR="00837AE3">
        <w:t>in het aanduiden van belangenbehartigers</w:t>
      </w:r>
      <w:r w:rsidR="007B64AD">
        <w:t>.</w:t>
      </w:r>
      <w:r w:rsidR="00ED4364">
        <w:t xml:space="preserve"> </w:t>
      </w:r>
      <w:r w:rsidR="00837AE3">
        <w:t xml:space="preserve">Deze belangenbehartigers dienen onafhankelijk te staan van enig </w:t>
      </w:r>
      <w:r w:rsidR="006F2064">
        <w:t>handicap</w:t>
      </w:r>
      <w:r w:rsidR="00EC5B25">
        <w:t xml:space="preserve">specifiek </w:t>
      </w:r>
      <w:r w:rsidR="00837AE3">
        <w:t>ondersteuningsaanbod</w:t>
      </w:r>
      <w:r w:rsidR="00ED4364">
        <w:t>, beschikbaar te zijn en</w:t>
      </w:r>
      <w:r w:rsidR="00837AE3">
        <w:t xml:space="preserve"> te </w:t>
      </w:r>
      <w:r w:rsidR="007B64AD">
        <w:t>handelen vanuit het</w:t>
      </w:r>
      <w:r w:rsidR="00C15079">
        <w:t xml:space="preserve"> samen</w:t>
      </w:r>
      <w:r w:rsidR="007B64AD">
        <w:t xml:space="preserve"> met </w:t>
      </w:r>
      <w:r w:rsidR="006F2064">
        <w:t xml:space="preserve">de persoon </w:t>
      </w:r>
      <w:r w:rsidR="00AD451E">
        <w:t xml:space="preserve">met een </w:t>
      </w:r>
      <w:r w:rsidR="006F2064">
        <w:t xml:space="preserve">handicap </w:t>
      </w:r>
      <w:r w:rsidR="007B64AD">
        <w:t>vastgelegde</w:t>
      </w:r>
      <w:r w:rsidR="00837AE3">
        <w:t xml:space="preserve"> ondersteunings</w:t>
      </w:r>
      <w:r w:rsidR="00EC5B25">
        <w:t>project</w:t>
      </w:r>
      <w:r w:rsidR="007B64AD">
        <w:t xml:space="preserve"> en -plan</w:t>
      </w:r>
      <w:r w:rsidR="00837AE3">
        <w:t xml:space="preserve">. </w:t>
      </w:r>
    </w:p>
    <w:p w:rsidR="00455B65" w:rsidRDefault="00ED4364" w:rsidP="006D6EAF">
      <w:r>
        <w:t xml:space="preserve">Vanuit de bezorgdheid voor passende rechtsbescherming </w:t>
      </w:r>
      <w:r w:rsidR="0033573B">
        <w:t>vra</w:t>
      </w:r>
      <w:r>
        <w:t>agt het Centrum ten eerste</w:t>
      </w:r>
      <w:r w:rsidR="0033573B">
        <w:t xml:space="preserve"> transparantie binnen de processen zorgregie en toegangspoort</w:t>
      </w:r>
      <w:r w:rsidR="00CB5533" w:rsidRPr="00CB5533">
        <w:t xml:space="preserve"> </w:t>
      </w:r>
      <w:r w:rsidR="00CB5533">
        <w:t>Integrale Jeugdhulp</w:t>
      </w:r>
      <w:r w:rsidR="0033573B">
        <w:t xml:space="preserve">, onder meer door schriftelijke motivering van de genomen beslissing en melding hiervan aan de </w:t>
      </w:r>
      <w:r w:rsidR="00A11C06">
        <w:t xml:space="preserve">betrokken </w:t>
      </w:r>
      <w:r w:rsidR="0033573B">
        <w:t xml:space="preserve">persoon </w:t>
      </w:r>
      <w:r w:rsidR="00A11C06">
        <w:t>(en</w:t>
      </w:r>
      <w:r w:rsidR="00717E06">
        <w:t>/of</w:t>
      </w:r>
      <w:r w:rsidR="00A11C06">
        <w:t xml:space="preserve"> diens netwerk) </w:t>
      </w:r>
      <w:r w:rsidR="0033573B">
        <w:t>en zijn belangenbehartiger.</w:t>
      </w:r>
      <w:r w:rsidR="0050068A">
        <w:t xml:space="preserve"> Daarnaast verzoekt het Centrum</w:t>
      </w:r>
      <w:r w:rsidR="00CC5EFF" w:rsidRPr="00CC5EFF">
        <w:t xml:space="preserve"> </w:t>
      </w:r>
      <w:r w:rsidR="000F153D">
        <w:t xml:space="preserve">onder artikel 16 </w:t>
      </w:r>
      <w:r w:rsidR="00B8726C">
        <w:t xml:space="preserve">in het voorontwerp van decreet betreffende persoonsvolgende </w:t>
      </w:r>
      <w:r w:rsidR="00A05071">
        <w:t>financiering</w:t>
      </w:r>
      <w:r w:rsidR="00B8726C">
        <w:t xml:space="preserve"> en binnen het decreet integrale jeugdhulp </w:t>
      </w:r>
      <w:r w:rsidR="000F153D">
        <w:t xml:space="preserve">minstens een beroepsprocedure in te </w:t>
      </w:r>
      <w:r w:rsidR="00FD2CBA">
        <w:t xml:space="preserve">schrijven </w:t>
      </w:r>
      <w:r w:rsidR="006C1957">
        <w:t>tegen weigering van persoon</w:t>
      </w:r>
      <w:r w:rsidR="0007681A">
        <w:t>s</w:t>
      </w:r>
      <w:r w:rsidR="006C1957">
        <w:t>volgende financiering</w:t>
      </w:r>
      <w:r w:rsidR="000F153D">
        <w:t xml:space="preserve"> en </w:t>
      </w:r>
      <w:r w:rsidR="007B64AD">
        <w:t xml:space="preserve">sterke </w:t>
      </w:r>
      <w:r w:rsidR="000F153D">
        <w:t xml:space="preserve">garanties in te </w:t>
      </w:r>
      <w:r w:rsidR="002E6801">
        <w:t>bouwen</w:t>
      </w:r>
      <w:r w:rsidR="000F153D">
        <w:t xml:space="preserve"> om </w:t>
      </w:r>
      <w:r w:rsidR="008E248B">
        <w:t xml:space="preserve">gelijkaardige </w:t>
      </w:r>
      <w:r w:rsidR="000F153D">
        <w:t xml:space="preserve">dossiers gelijk </w:t>
      </w:r>
      <w:r w:rsidR="00FD2CBA">
        <w:t>te behandelen ongeacht de provi</w:t>
      </w:r>
      <w:r w:rsidR="00B8726C">
        <w:t>ncie waar het dossier voorkomt.</w:t>
      </w:r>
    </w:p>
    <w:p w:rsidR="003A6070" w:rsidRDefault="005B2E18" w:rsidP="005B2E18">
      <w:pPr>
        <w:pStyle w:val="Kop3"/>
        <w:rPr>
          <w:caps w:val="0"/>
        </w:rPr>
      </w:pPr>
      <w:r w:rsidRPr="005B2E18">
        <w:rPr>
          <w:caps w:val="0"/>
        </w:rPr>
        <w:t>ONDERSCHEID TUSSEN DIEGENEN DIE AL ONDERSTEUNING KRIJGEN EN DEZE WELKE DIT NOG NIET KRIJGEN</w:t>
      </w:r>
    </w:p>
    <w:p w:rsidR="0050068A" w:rsidRDefault="005B2E18" w:rsidP="005B2E18">
      <w:r>
        <w:t xml:space="preserve">Het ontwerpdecreet bepaalt op dit moment nog niets over de positie van diegenen </w:t>
      </w:r>
      <w:r w:rsidR="002068CD">
        <w:t>die nu reeds ondersteuning ten laste van het VAPH</w:t>
      </w:r>
      <w:r w:rsidR="00D00FDF">
        <w:t xml:space="preserve"> ontvangen</w:t>
      </w:r>
      <w:r w:rsidR="002068CD">
        <w:t xml:space="preserve"> ten opzichte van hen </w:t>
      </w:r>
      <w:r w:rsidR="00717E06">
        <w:t>die nog geen</w:t>
      </w:r>
      <w:r w:rsidR="00D00FDF">
        <w:t xml:space="preserve"> enkele vorm van</w:t>
      </w:r>
      <w:r w:rsidR="00717E06">
        <w:t xml:space="preserve"> ondersteuning genieten. Het komt ons voor dat ook zij die nu reeds ondersteuning genieten een proces van vraagverduidelijking moeten kunnen doorlopen (om tot een herijking van hun ondersteuning te komen) en hen </w:t>
      </w:r>
      <w:r w:rsidR="00E805DC">
        <w:t xml:space="preserve">ten volle </w:t>
      </w:r>
      <w:r w:rsidR="00717E06">
        <w:t>de keuze wordt gelaten voor een persoonsvolgende financiering in de vorm van cash-budget.</w:t>
      </w:r>
    </w:p>
    <w:p w:rsidR="007907DF" w:rsidRDefault="00353608" w:rsidP="00353608">
      <w:pPr>
        <w:pStyle w:val="Kop2"/>
      </w:pPr>
      <w:r>
        <w:rPr>
          <w:caps w:val="0"/>
        </w:rPr>
        <w:t>CONCLUSIE</w:t>
      </w:r>
    </w:p>
    <w:p w:rsidR="0033573B" w:rsidRDefault="007907DF" w:rsidP="007907DF">
      <w:r>
        <w:t xml:space="preserve">Het Centrum toont zich </w:t>
      </w:r>
      <w:r w:rsidR="00951A9C">
        <w:t>globaal positief</w:t>
      </w:r>
      <w:r>
        <w:t xml:space="preserve"> </w:t>
      </w:r>
      <w:r w:rsidR="00F735B1">
        <w:t>over</w:t>
      </w:r>
      <w:r>
        <w:t xml:space="preserve"> het voornemen van de decreetgever om de ondersteuning van personen met een </w:t>
      </w:r>
      <w:r w:rsidR="0033573B">
        <w:t>handicap</w:t>
      </w:r>
      <w:r>
        <w:t xml:space="preserve"> steeds sterker vraaggestuurd te maken en om </w:t>
      </w:r>
      <w:r w:rsidR="0033573B">
        <w:t>verdere inspanningen</w:t>
      </w:r>
      <w:r>
        <w:t xml:space="preserve"> te leveren om bij t</w:t>
      </w:r>
      <w:r w:rsidR="0033573B">
        <w:t>e dragen tot maximale inclusie.</w:t>
      </w:r>
    </w:p>
    <w:p w:rsidR="002A75F4" w:rsidRDefault="007907DF" w:rsidP="007907DF">
      <w:r>
        <w:lastRenderedPageBreak/>
        <w:t xml:space="preserve">Het </w:t>
      </w:r>
      <w:r w:rsidR="0033573B">
        <w:t xml:space="preserve">Centrum </w:t>
      </w:r>
      <w:r>
        <w:t>stelt zich</w:t>
      </w:r>
      <w:r w:rsidR="0033573B">
        <w:t xml:space="preserve"> vanuit het VN-verdrag</w:t>
      </w:r>
      <w:r>
        <w:t xml:space="preserve"> </w:t>
      </w:r>
      <w:r w:rsidR="003F672B">
        <w:t xml:space="preserve">echter nog </w:t>
      </w:r>
      <w:r>
        <w:t xml:space="preserve">vragen over de keuze voor een </w:t>
      </w:r>
      <w:r w:rsidR="00597847">
        <w:t>forfaitaire</w:t>
      </w:r>
      <w:r w:rsidR="002A75F4">
        <w:t xml:space="preserve"> </w:t>
      </w:r>
      <w:r>
        <w:t xml:space="preserve">basisfinanciering </w:t>
      </w:r>
      <w:r w:rsidR="0033573B">
        <w:t>die</w:t>
      </w:r>
      <w:r>
        <w:t xml:space="preserve"> los staat van de concrete ondersteuningsnood</w:t>
      </w:r>
      <w:r w:rsidR="002A75F4">
        <w:t>.</w:t>
      </w:r>
    </w:p>
    <w:p w:rsidR="00951A9C" w:rsidRDefault="002A75F4" w:rsidP="007907DF">
      <w:r>
        <w:t xml:space="preserve">Verder is het </w:t>
      </w:r>
      <w:r w:rsidR="003F672B">
        <w:t>Centrum</w:t>
      </w:r>
      <w:r>
        <w:t xml:space="preserve"> het oneens met de beleidskeuze </w:t>
      </w:r>
      <w:r w:rsidR="001E1C36">
        <w:t xml:space="preserve">om handicapspecifieke ondersteuning </w:t>
      </w:r>
      <w:r>
        <w:t xml:space="preserve">prioritair </w:t>
      </w:r>
      <w:r w:rsidR="001E1C36">
        <w:t xml:space="preserve">voor te behouden aan </w:t>
      </w:r>
      <w:r>
        <w:t xml:space="preserve">personen met </w:t>
      </w:r>
      <w:r w:rsidR="001E1C36">
        <w:t>de dringendste ondersteuning</w:t>
      </w:r>
      <w:r w:rsidR="00F735B1">
        <w:t>s</w:t>
      </w:r>
      <w:r w:rsidR="0074561A">
        <w:t>nood</w:t>
      </w:r>
      <w:r>
        <w:t xml:space="preserve">, </w:t>
      </w:r>
      <w:r w:rsidR="00597847">
        <w:t>geoperationaliseerd</w:t>
      </w:r>
      <w:r>
        <w:t xml:space="preserve"> als zijnde personen die nie</w:t>
      </w:r>
      <w:r w:rsidR="001E1C36">
        <w:t xml:space="preserve">t of sterk onvoldoende </w:t>
      </w:r>
      <w:r w:rsidR="0074561A">
        <w:t>kunnen terugvallen op</w:t>
      </w:r>
      <w:r w:rsidR="001E1C36">
        <w:t xml:space="preserve"> </w:t>
      </w:r>
      <w:r w:rsidR="0074561A">
        <w:t xml:space="preserve">intra-familiale, informele of </w:t>
      </w:r>
      <w:r w:rsidR="001E1C36">
        <w:t xml:space="preserve">reguliere </w:t>
      </w:r>
      <w:r w:rsidR="0074561A">
        <w:t>netwerk</w:t>
      </w:r>
      <w:r w:rsidR="001E1C36">
        <w:t xml:space="preserve">en. </w:t>
      </w:r>
      <w:r w:rsidR="00951A9C">
        <w:t>Mantelzorg</w:t>
      </w:r>
      <w:r w:rsidR="001E1C36">
        <w:t xml:space="preserve"> dien</w:t>
      </w:r>
      <w:r w:rsidR="00951A9C">
        <w:t xml:space="preserve">t </w:t>
      </w:r>
      <w:r>
        <w:t xml:space="preserve">op </w:t>
      </w:r>
      <w:r w:rsidR="00597847">
        <w:t>grond</w:t>
      </w:r>
      <w:r>
        <w:t xml:space="preserve"> van het VN-verdrag waar nodig</w:t>
      </w:r>
      <w:r w:rsidR="001E1C36">
        <w:t xml:space="preserve"> </w:t>
      </w:r>
      <w:r w:rsidR="00951A9C">
        <w:t>net</w:t>
      </w:r>
      <w:r w:rsidR="001E1C36">
        <w:t xml:space="preserve"> ondersteund </w:t>
      </w:r>
      <w:r w:rsidR="002C6DB2">
        <w:t xml:space="preserve">en aangevuld </w:t>
      </w:r>
      <w:r w:rsidR="001E1C36">
        <w:t>te worden.</w:t>
      </w:r>
    </w:p>
    <w:p w:rsidR="002A75F4" w:rsidRDefault="00597847" w:rsidP="007907DF">
      <w:r>
        <w:t>Bovendien dient ondersteun</w:t>
      </w:r>
      <w:r w:rsidR="00D128E9">
        <w:t>ing</w:t>
      </w:r>
      <w:r>
        <w:t xml:space="preserve"> </w:t>
      </w:r>
      <w:r w:rsidR="0074561A">
        <w:t xml:space="preserve">en de daartoe toegekende middelen </w:t>
      </w:r>
      <w:r>
        <w:t xml:space="preserve">de keuzevrijheid en het levensproject van personen met een handicap te </w:t>
      </w:r>
      <w:r w:rsidR="00CB5533">
        <w:t>schragen</w:t>
      </w:r>
      <w:r>
        <w:t>.</w:t>
      </w:r>
      <w:r w:rsidR="00951A9C">
        <w:t xml:space="preserve"> Het is in dat opzicht vreemd vast </w:t>
      </w:r>
      <w:r w:rsidR="002C6DB2">
        <w:t xml:space="preserve">te moeten stellen </w:t>
      </w:r>
      <w:r w:rsidR="00951A9C">
        <w:t>dat het advies van decreet niet toelaat dat omwille van de ondersteuningsnood toegekende middelen niet kunnen ingezet worden voor het financieren van andere dan handicapspecifieke en erkende ondersteuningsvormen.</w:t>
      </w:r>
    </w:p>
    <w:p w:rsidR="00597847" w:rsidRDefault="001E1C36" w:rsidP="007907DF">
      <w:r>
        <w:t xml:space="preserve">Ten </w:t>
      </w:r>
      <w:r w:rsidR="00951A9C">
        <w:t>vierde</w:t>
      </w:r>
      <w:r w:rsidR="002A75F4">
        <w:t xml:space="preserve"> laat</w:t>
      </w:r>
      <w:r>
        <w:t xml:space="preserve"> het Centrum zich negatief </w:t>
      </w:r>
      <w:r w:rsidR="00AC4F0C">
        <w:t xml:space="preserve">uit </w:t>
      </w:r>
      <w:r w:rsidR="002A75F4">
        <w:t xml:space="preserve">over de beperkte rechtsbescherming en </w:t>
      </w:r>
      <w:r w:rsidR="00597847">
        <w:t>(</w:t>
      </w:r>
      <w:r w:rsidR="002A75F4">
        <w:t>individuele</w:t>
      </w:r>
      <w:r w:rsidR="00597847">
        <w:t>)</w:t>
      </w:r>
      <w:r w:rsidR="002A75F4">
        <w:t xml:space="preserve"> inspraakkansen binnen de huidige </w:t>
      </w:r>
      <w:r w:rsidR="00597847">
        <w:t>processen</w:t>
      </w:r>
      <w:r w:rsidR="002A75F4">
        <w:t xml:space="preserve"> van </w:t>
      </w:r>
      <w:r w:rsidR="00597847">
        <w:t>toewijzing</w:t>
      </w:r>
      <w:r w:rsidR="002A75F4">
        <w:t xml:space="preserve"> van </w:t>
      </w:r>
      <w:r w:rsidR="00597847">
        <w:t>niet</w:t>
      </w:r>
      <w:r w:rsidR="006C5B50">
        <w:t>-</w:t>
      </w:r>
      <w:r w:rsidR="00597847">
        <w:t>rechtstreeks toegankelijke ondersteuning</w:t>
      </w:r>
      <w:r>
        <w:t>.</w:t>
      </w:r>
      <w:r w:rsidR="00597847">
        <w:t xml:space="preserve"> Er is ons </w:t>
      </w:r>
      <w:r w:rsidR="009832CF">
        <w:t>inziens</w:t>
      </w:r>
      <w:r w:rsidR="00597847">
        <w:t xml:space="preserve"> nood aan meer transparantie en </w:t>
      </w:r>
      <w:r w:rsidR="00353608">
        <w:t>onafhankelijkheid binnen</w:t>
      </w:r>
      <w:r w:rsidR="00597847">
        <w:t xml:space="preserve"> belangenbehartiging.</w:t>
      </w:r>
    </w:p>
    <w:p w:rsidR="007907DF" w:rsidRPr="007907DF" w:rsidRDefault="001E1C36" w:rsidP="007907DF">
      <w:r>
        <w:t xml:space="preserve">Ten </w:t>
      </w:r>
      <w:r w:rsidR="002C6DB2">
        <w:t>slotte</w:t>
      </w:r>
      <w:r>
        <w:t xml:space="preserve"> </w:t>
      </w:r>
      <w:r w:rsidR="00597847">
        <w:t>pleit</w:t>
      </w:r>
      <w:r>
        <w:t xml:space="preserve"> het Centrum voor het maximaal </w:t>
      </w:r>
      <w:r w:rsidR="00597847">
        <w:t xml:space="preserve">vrijwaren van de bestedingsvrijheid </w:t>
      </w:r>
      <w:r w:rsidR="009832CF">
        <w:t xml:space="preserve">van op basis van het ondersteuningsplan en de zorgzwaarte toegekende middelen. De flexibele </w:t>
      </w:r>
      <w:r w:rsidR="00353608">
        <w:t>overstap</w:t>
      </w:r>
      <w:r w:rsidR="009832CF">
        <w:t xml:space="preserve"> tussen een cash-budget en een voucher </w:t>
      </w:r>
      <w:r w:rsidR="00353608">
        <w:t>dient gevrijwaard te blijven.</w:t>
      </w:r>
      <w:r w:rsidR="00AC4F0C">
        <w:t xml:space="preserve"> </w:t>
      </w:r>
      <w:r w:rsidR="0074561A">
        <w:t>Het systeem van</w:t>
      </w:r>
      <w:r w:rsidR="00AC4F0C">
        <w:t xml:space="preserve"> een voucher mag ni</w:t>
      </w:r>
      <w:r w:rsidR="0074561A">
        <w:t>et ambtshalve opgelegd worden</w:t>
      </w:r>
      <w:r w:rsidR="00AC4F0C">
        <w:t>.</w:t>
      </w:r>
    </w:p>
    <w:sectPr w:rsidR="007907DF" w:rsidRPr="007907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ECB" w:rsidRDefault="00C05ECB" w:rsidP="00741E77">
      <w:pPr>
        <w:spacing w:before="0" w:after="0" w:line="240" w:lineRule="auto"/>
      </w:pPr>
      <w:r>
        <w:separator/>
      </w:r>
    </w:p>
  </w:endnote>
  <w:endnote w:type="continuationSeparator" w:id="0">
    <w:p w:rsidR="00C05ECB" w:rsidRDefault="00C05ECB" w:rsidP="00741E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E9" w:rsidRDefault="00381F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768425"/>
      <w:docPartObj>
        <w:docPartGallery w:val="Page Numbers (Bottom of Page)"/>
        <w:docPartUnique/>
      </w:docPartObj>
    </w:sdtPr>
    <w:sdtEndPr/>
    <w:sdtContent>
      <w:p w:rsidR="00381FE9" w:rsidRDefault="00381FE9" w:rsidP="00F54349">
        <w:pPr>
          <w:pStyle w:val="Voettekst"/>
          <w:jc w:val="center"/>
        </w:pPr>
        <w:r>
          <w:fldChar w:fldCharType="begin"/>
        </w:r>
        <w:r>
          <w:instrText>PAGE   \* MERGEFORMAT</w:instrText>
        </w:r>
        <w:r>
          <w:fldChar w:fldCharType="separate"/>
        </w:r>
        <w:r w:rsidR="00A7798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E9" w:rsidRDefault="00381F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ECB" w:rsidRDefault="00C05ECB" w:rsidP="00741E77">
      <w:pPr>
        <w:spacing w:before="0" w:after="0" w:line="240" w:lineRule="auto"/>
      </w:pPr>
      <w:r>
        <w:separator/>
      </w:r>
    </w:p>
  </w:footnote>
  <w:footnote w:type="continuationSeparator" w:id="0">
    <w:p w:rsidR="00C05ECB" w:rsidRDefault="00C05ECB" w:rsidP="00741E77">
      <w:pPr>
        <w:spacing w:before="0" w:after="0" w:line="240" w:lineRule="auto"/>
      </w:pPr>
      <w:r>
        <w:continuationSeparator/>
      </w:r>
    </w:p>
  </w:footnote>
  <w:footnote w:id="1">
    <w:p w:rsidR="00381FE9" w:rsidRPr="00D41BF0" w:rsidRDefault="00381FE9">
      <w:pPr>
        <w:pStyle w:val="Voetnoottekst"/>
        <w:rPr>
          <w:lang w:val="nl-BE"/>
        </w:rPr>
      </w:pPr>
      <w:r>
        <w:rPr>
          <w:rStyle w:val="Voetnootmarkering"/>
        </w:rPr>
        <w:footnoteRef/>
      </w:r>
      <w:r>
        <w:t xml:space="preserve"> </w:t>
      </w:r>
      <w:r w:rsidRPr="00D41BF0">
        <w:t>Dit tekstonderdeel is grotendeels schatplichtig aan een “issue paper” van Thomas Hammerberg, oud-mensenrechtencommissaris van de Raad van Europa over de gevolgen van artikel 19 van het VN-verdrag. Deze “issue paper” is te downloaden via https://wcd.coe.int/ViewDoc.jsp?id=1917847 en werd  gepubliceerd op 23 maart 2012.</w:t>
      </w:r>
    </w:p>
  </w:footnote>
  <w:footnote w:id="2">
    <w:p w:rsidR="00381FE9" w:rsidRPr="00434627" w:rsidRDefault="00381FE9">
      <w:pPr>
        <w:pStyle w:val="Voetnoottekst"/>
      </w:pPr>
      <w:r>
        <w:rPr>
          <w:rStyle w:val="Voetnootmarkering"/>
        </w:rPr>
        <w:footnoteRef/>
      </w:r>
      <w:r>
        <w:t xml:space="preserve"> </w:t>
      </w:r>
      <w:r w:rsidRPr="00434627">
        <w:t>De authentieke Engelstalige vertaling van het VN-verdrag heeft het over “a range of in-home, residential and other community services”.</w:t>
      </w:r>
    </w:p>
  </w:footnote>
  <w:footnote w:id="3">
    <w:p w:rsidR="00381FE9" w:rsidRPr="00DA0284" w:rsidRDefault="00381FE9">
      <w:pPr>
        <w:pStyle w:val="Voetnoottekst"/>
      </w:pPr>
      <w:r>
        <w:rPr>
          <w:rStyle w:val="Voetnootmarkering"/>
        </w:rPr>
        <w:footnoteRef/>
      </w:r>
      <w:r>
        <w:t xml:space="preserve"> </w:t>
      </w:r>
      <w:r w:rsidRPr="00DA0284">
        <w:t>VN-comité inzake de rechten van personen met een handicap in haar rapport over Spanje</w:t>
      </w:r>
      <w:r>
        <w:t xml:space="preserve"> (CRPD/C/ESP/CO/1 paragraaf 39-42).</w:t>
      </w:r>
    </w:p>
  </w:footnote>
  <w:footnote w:id="4">
    <w:p w:rsidR="00381FE9" w:rsidRPr="00A97576" w:rsidRDefault="00381FE9">
      <w:pPr>
        <w:pStyle w:val="Voetnoottekst"/>
      </w:pPr>
      <w:r>
        <w:rPr>
          <w:rStyle w:val="Voetnootmarkering"/>
        </w:rPr>
        <w:footnoteRef/>
      </w:r>
      <w:r>
        <w:t xml:space="preserve"> </w:t>
      </w:r>
      <w:r w:rsidRPr="00A97576">
        <w:t>VN-comité inzake de rechten van personen met een handicap in haar rapport over Hongarije (CRPD/C/HUN/CO/1 paragraaf 33).</w:t>
      </w:r>
    </w:p>
  </w:footnote>
  <w:footnote w:id="5">
    <w:p w:rsidR="00381FE9" w:rsidRPr="000B5DC5" w:rsidRDefault="00381FE9">
      <w:pPr>
        <w:pStyle w:val="Voetnoottekst"/>
      </w:pPr>
      <w:r>
        <w:rPr>
          <w:rStyle w:val="Voetnootmarkering"/>
        </w:rPr>
        <w:footnoteRef/>
      </w:r>
      <w:r>
        <w:t xml:space="preserve"> </w:t>
      </w:r>
      <w:r w:rsidRPr="000B5DC5">
        <w:t>Voor de</w:t>
      </w:r>
      <w:r>
        <w:t xml:space="preserve"> volledigheid dienen we te vermelden dat de Duitstalige Gemeenschap in deze procedure niet betrokken werd.</w:t>
      </w:r>
    </w:p>
  </w:footnote>
  <w:footnote w:id="6">
    <w:p w:rsidR="00381FE9" w:rsidRPr="001F55E7" w:rsidRDefault="00381FE9">
      <w:pPr>
        <w:pStyle w:val="Voetnoottekst"/>
      </w:pPr>
      <w:r>
        <w:rPr>
          <w:rStyle w:val="Voetnootmarkering"/>
        </w:rPr>
        <w:footnoteRef/>
      </w:r>
      <w:r w:rsidRPr="001F55E7">
        <w:t xml:space="preserve"> Memorie van toelichting ontwerpdecreet PVF, blz. 10.</w:t>
      </w:r>
    </w:p>
  </w:footnote>
  <w:footnote w:id="7">
    <w:p w:rsidR="00381FE9" w:rsidRPr="001B07AB" w:rsidRDefault="00381FE9" w:rsidP="001B07AB">
      <w:pPr>
        <w:pStyle w:val="Voetnoottekst"/>
        <w:rPr>
          <w:lang w:val="en-US"/>
        </w:rPr>
      </w:pPr>
      <w:r>
        <w:rPr>
          <w:rStyle w:val="Voetnootmarkering"/>
        </w:rPr>
        <w:footnoteRef/>
      </w:r>
      <w:r w:rsidRPr="001B07AB">
        <w:rPr>
          <w:lang w:val="en-US"/>
        </w:rPr>
        <w:t xml:space="preserve"> Meer ac</w:t>
      </w:r>
      <w:r>
        <w:rPr>
          <w:lang w:val="en-US"/>
        </w:rPr>
        <w:t>h</w:t>
      </w:r>
      <w:r w:rsidRPr="001B07AB">
        <w:rPr>
          <w:lang w:val="en-US"/>
        </w:rPr>
        <w:t xml:space="preserve">tergrond: </w:t>
      </w:r>
      <w:r>
        <w:rPr>
          <w:lang w:val="en-US"/>
        </w:rPr>
        <w:t xml:space="preserve">Debbie Jolly, </w:t>
      </w:r>
      <w:r w:rsidRPr="001B07AB">
        <w:rPr>
          <w:lang w:val="en-US"/>
        </w:rPr>
        <w:t xml:space="preserve">Personal Assistance and Independent Living: article 19 of the UN Convention on the Rights of Persons with </w:t>
      </w:r>
      <w:r>
        <w:rPr>
          <w:lang w:val="en-US"/>
        </w:rPr>
        <w:t xml:space="preserve">Disabilities: 5-6 (geraadpleegd op </w:t>
      </w:r>
      <w:hyperlink r:id="rId1" w:history="1">
        <w:r w:rsidRPr="001B07AB">
          <w:rPr>
            <w:rStyle w:val="Hyperlink"/>
            <w:lang w:val="en-US"/>
          </w:rPr>
          <w:t>http://disability-studies.leeds.ac.uk/files/library/jolly-Personal-Assistance-and-Independent-Living1.pdf</w:t>
        </w:r>
      </w:hyperlink>
      <w:r w:rsidRPr="001B07AB">
        <w:rPr>
          <w:lang w:val="en-US"/>
        </w:rPr>
        <w:t xml:space="preserve"> op 14 augustus 2013).</w:t>
      </w:r>
    </w:p>
  </w:footnote>
  <w:footnote w:id="8">
    <w:p w:rsidR="00381FE9" w:rsidRPr="002401BF" w:rsidRDefault="00381FE9">
      <w:pPr>
        <w:pStyle w:val="Voetnoottekst"/>
        <w:rPr>
          <w:lang w:val="nl-BE"/>
        </w:rPr>
      </w:pPr>
      <w:r>
        <w:rPr>
          <w:rStyle w:val="Voetnootmarkering"/>
        </w:rPr>
        <w:footnoteRef/>
      </w:r>
      <w:r>
        <w:t xml:space="preserve"> </w:t>
      </w:r>
      <w:r>
        <w:rPr>
          <w:lang w:val="nl-BE"/>
        </w:rPr>
        <w:t>Volgens art. 47§3 van het Besluit Zorgregie kunnen de voorzieningen erkend door het VAPH, de verwijzende instanties (de instanties die in het kader van een inschrijving bij het VAPH een multidiciplinair verslag opmaken) en daartoe erkende verenigingen van personen met een handicap optreden als contactpersonen.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E9" w:rsidRDefault="00381F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E9" w:rsidRDefault="00381F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E9" w:rsidRDefault="00381F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6E6"/>
    <w:multiLevelType w:val="hybridMultilevel"/>
    <w:tmpl w:val="6CBA84D0"/>
    <w:lvl w:ilvl="0" w:tplc="FFA62ED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8B1CB2"/>
    <w:multiLevelType w:val="hybridMultilevel"/>
    <w:tmpl w:val="93D6F6B6"/>
    <w:lvl w:ilvl="0" w:tplc="FFA62ED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BB779F"/>
    <w:multiLevelType w:val="hybridMultilevel"/>
    <w:tmpl w:val="D5445384"/>
    <w:lvl w:ilvl="0" w:tplc="FFA62ED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7B6D21"/>
    <w:multiLevelType w:val="hybridMultilevel"/>
    <w:tmpl w:val="C11AB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8C6A9C"/>
    <w:multiLevelType w:val="hybridMultilevel"/>
    <w:tmpl w:val="3E387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2D1753"/>
    <w:multiLevelType w:val="hybridMultilevel"/>
    <w:tmpl w:val="A98E395A"/>
    <w:lvl w:ilvl="0" w:tplc="B1664822">
      <w:start w:val="1"/>
      <w:numFmt w:val="decimal"/>
      <w:lvlText w:val="%1."/>
      <w:lvlJc w:val="left"/>
      <w:pPr>
        <w:ind w:left="1689" w:hanging="555"/>
      </w:pPr>
      <w:rPr>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 w15:restartNumberingAfterBreak="0">
    <w:nsid w:val="77135916"/>
    <w:multiLevelType w:val="hybridMultilevel"/>
    <w:tmpl w:val="F490C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8B"/>
    <w:rsid w:val="00013E30"/>
    <w:rsid w:val="00016730"/>
    <w:rsid w:val="000213F6"/>
    <w:rsid w:val="000274B9"/>
    <w:rsid w:val="000352D8"/>
    <w:rsid w:val="00037B4A"/>
    <w:rsid w:val="000549A4"/>
    <w:rsid w:val="0007681A"/>
    <w:rsid w:val="00094EB9"/>
    <w:rsid w:val="00095458"/>
    <w:rsid w:val="000A1379"/>
    <w:rsid w:val="000A1A2E"/>
    <w:rsid w:val="000B0A28"/>
    <w:rsid w:val="000B5DC5"/>
    <w:rsid w:val="000E1169"/>
    <w:rsid w:val="000E3652"/>
    <w:rsid w:val="000E7AF6"/>
    <w:rsid w:val="000F0B7A"/>
    <w:rsid w:val="000F153D"/>
    <w:rsid w:val="00103CE9"/>
    <w:rsid w:val="00113205"/>
    <w:rsid w:val="00124E43"/>
    <w:rsid w:val="00125878"/>
    <w:rsid w:val="00126822"/>
    <w:rsid w:val="001356FE"/>
    <w:rsid w:val="001364CB"/>
    <w:rsid w:val="001372FE"/>
    <w:rsid w:val="00143369"/>
    <w:rsid w:val="00153B9F"/>
    <w:rsid w:val="0015438F"/>
    <w:rsid w:val="00160655"/>
    <w:rsid w:val="001826B5"/>
    <w:rsid w:val="001A3894"/>
    <w:rsid w:val="001B07AB"/>
    <w:rsid w:val="001D5058"/>
    <w:rsid w:val="001E1C36"/>
    <w:rsid w:val="001E6A10"/>
    <w:rsid w:val="001F55E7"/>
    <w:rsid w:val="00200E19"/>
    <w:rsid w:val="00201A1A"/>
    <w:rsid w:val="00204987"/>
    <w:rsid w:val="002068CD"/>
    <w:rsid w:val="002202CE"/>
    <w:rsid w:val="002214B8"/>
    <w:rsid w:val="002217C1"/>
    <w:rsid w:val="00222236"/>
    <w:rsid w:val="002401BF"/>
    <w:rsid w:val="00241574"/>
    <w:rsid w:val="00244780"/>
    <w:rsid w:val="002460CD"/>
    <w:rsid w:val="00247636"/>
    <w:rsid w:val="00275692"/>
    <w:rsid w:val="0027622B"/>
    <w:rsid w:val="0029092A"/>
    <w:rsid w:val="00291512"/>
    <w:rsid w:val="002960FB"/>
    <w:rsid w:val="002A75F4"/>
    <w:rsid w:val="002B3B50"/>
    <w:rsid w:val="002B73F1"/>
    <w:rsid w:val="002C0C2C"/>
    <w:rsid w:val="002C6DB2"/>
    <w:rsid w:val="002E6801"/>
    <w:rsid w:val="00327266"/>
    <w:rsid w:val="0033573B"/>
    <w:rsid w:val="00353608"/>
    <w:rsid w:val="00381FE9"/>
    <w:rsid w:val="003869D0"/>
    <w:rsid w:val="003938E1"/>
    <w:rsid w:val="00393C33"/>
    <w:rsid w:val="003A6070"/>
    <w:rsid w:val="003C7000"/>
    <w:rsid w:val="003C7A79"/>
    <w:rsid w:val="003D0403"/>
    <w:rsid w:val="003E30CF"/>
    <w:rsid w:val="003E6F7F"/>
    <w:rsid w:val="003E7A50"/>
    <w:rsid w:val="003F5004"/>
    <w:rsid w:val="003F672B"/>
    <w:rsid w:val="00405493"/>
    <w:rsid w:val="00405A24"/>
    <w:rsid w:val="00412473"/>
    <w:rsid w:val="00417504"/>
    <w:rsid w:val="00434495"/>
    <w:rsid w:val="00434627"/>
    <w:rsid w:val="00455B65"/>
    <w:rsid w:val="004736FF"/>
    <w:rsid w:val="00483D66"/>
    <w:rsid w:val="00490AF3"/>
    <w:rsid w:val="004A55BD"/>
    <w:rsid w:val="004B3FFF"/>
    <w:rsid w:val="004B79CF"/>
    <w:rsid w:val="004C6876"/>
    <w:rsid w:val="004D707D"/>
    <w:rsid w:val="004E54BB"/>
    <w:rsid w:val="004E60D3"/>
    <w:rsid w:val="0050068A"/>
    <w:rsid w:val="0050487A"/>
    <w:rsid w:val="005053E8"/>
    <w:rsid w:val="005172F9"/>
    <w:rsid w:val="00523886"/>
    <w:rsid w:val="00524F7E"/>
    <w:rsid w:val="00527221"/>
    <w:rsid w:val="00530363"/>
    <w:rsid w:val="00541097"/>
    <w:rsid w:val="005943E9"/>
    <w:rsid w:val="00597847"/>
    <w:rsid w:val="005A28B5"/>
    <w:rsid w:val="005A6319"/>
    <w:rsid w:val="005B1B36"/>
    <w:rsid w:val="005B2E18"/>
    <w:rsid w:val="005B4118"/>
    <w:rsid w:val="005B67B5"/>
    <w:rsid w:val="005C65D8"/>
    <w:rsid w:val="005D6924"/>
    <w:rsid w:val="005E3732"/>
    <w:rsid w:val="005F0F1E"/>
    <w:rsid w:val="00630AEE"/>
    <w:rsid w:val="00655DB6"/>
    <w:rsid w:val="00657E0E"/>
    <w:rsid w:val="00660792"/>
    <w:rsid w:val="00662E08"/>
    <w:rsid w:val="006659AF"/>
    <w:rsid w:val="00685688"/>
    <w:rsid w:val="006C1957"/>
    <w:rsid w:val="006C399A"/>
    <w:rsid w:val="006C5B50"/>
    <w:rsid w:val="006D41CF"/>
    <w:rsid w:val="006D6EAF"/>
    <w:rsid w:val="006E2B1B"/>
    <w:rsid w:val="006F2064"/>
    <w:rsid w:val="0071519F"/>
    <w:rsid w:val="00717E06"/>
    <w:rsid w:val="007203CF"/>
    <w:rsid w:val="00731FCC"/>
    <w:rsid w:val="00741E77"/>
    <w:rsid w:val="0074561A"/>
    <w:rsid w:val="00780A1D"/>
    <w:rsid w:val="00782EBD"/>
    <w:rsid w:val="0078728E"/>
    <w:rsid w:val="007907DF"/>
    <w:rsid w:val="00792071"/>
    <w:rsid w:val="007A55E7"/>
    <w:rsid w:val="007B0907"/>
    <w:rsid w:val="007B280A"/>
    <w:rsid w:val="007B64AD"/>
    <w:rsid w:val="007B7D8C"/>
    <w:rsid w:val="007C0C46"/>
    <w:rsid w:val="007D0EEE"/>
    <w:rsid w:val="007D652E"/>
    <w:rsid w:val="007E532A"/>
    <w:rsid w:val="008001ED"/>
    <w:rsid w:val="008015DF"/>
    <w:rsid w:val="00802D1F"/>
    <w:rsid w:val="0081782A"/>
    <w:rsid w:val="00821CC9"/>
    <w:rsid w:val="00831A32"/>
    <w:rsid w:val="00837AE3"/>
    <w:rsid w:val="008412C2"/>
    <w:rsid w:val="0085018C"/>
    <w:rsid w:val="00850BB4"/>
    <w:rsid w:val="008519BA"/>
    <w:rsid w:val="008657D3"/>
    <w:rsid w:val="008912AD"/>
    <w:rsid w:val="008B6C7B"/>
    <w:rsid w:val="008C199C"/>
    <w:rsid w:val="008D1280"/>
    <w:rsid w:val="008D26C6"/>
    <w:rsid w:val="008E212E"/>
    <w:rsid w:val="008E248B"/>
    <w:rsid w:val="008F11FD"/>
    <w:rsid w:val="00927586"/>
    <w:rsid w:val="009366B5"/>
    <w:rsid w:val="00942D5D"/>
    <w:rsid w:val="00946720"/>
    <w:rsid w:val="00946E3F"/>
    <w:rsid w:val="009504BC"/>
    <w:rsid w:val="00951A9C"/>
    <w:rsid w:val="00956851"/>
    <w:rsid w:val="00962F39"/>
    <w:rsid w:val="0096324A"/>
    <w:rsid w:val="0096634C"/>
    <w:rsid w:val="009665C3"/>
    <w:rsid w:val="00973355"/>
    <w:rsid w:val="00982D51"/>
    <w:rsid w:val="009830F4"/>
    <w:rsid w:val="009832CF"/>
    <w:rsid w:val="00992239"/>
    <w:rsid w:val="009A15AD"/>
    <w:rsid w:val="009A1723"/>
    <w:rsid w:val="009A55F7"/>
    <w:rsid w:val="009B01D7"/>
    <w:rsid w:val="009B301E"/>
    <w:rsid w:val="009C6B8B"/>
    <w:rsid w:val="009E34E4"/>
    <w:rsid w:val="009F72AB"/>
    <w:rsid w:val="00A01769"/>
    <w:rsid w:val="00A05071"/>
    <w:rsid w:val="00A07545"/>
    <w:rsid w:val="00A11C06"/>
    <w:rsid w:val="00A126E8"/>
    <w:rsid w:val="00A17A34"/>
    <w:rsid w:val="00A328F3"/>
    <w:rsid w:val="00A46914"/>
    <w:rsid w:val="00A65046"/>
    <w:rsid w:val="00A77988"/>
    <w:rsid w:val="00A83ED3"/>
    <w:rsid w:val="00A84E30"/>
    <w:rsid w:val="00A91417"/>
    <w:rsid w:val="00A95844"/>
    <w:rsid w:val="00A97576"/>
    <w:rsid w:val="00AA1F0C"/>
    <w:rsid w:val="00AA242A"/>
    <w:rsid w:val="00AC4F0C"/>
    <w:rsid w:val="00AD451E"/>
    <w:rsid w:val="00AE1B05"/>
    <w:rsid w:val="00AE3714"/>
    <w:rsid w:val="00AE4BAF"/>
    <w:rsid w:val="00AF0276"/>
    <w:rsid w:val="00AF337B"/>
    <w:rsid w:val="00AF7E7A"/>
    <w:rsid w:val="00B00724"/>
    <w:rsid w:val="00B0371B"/>
    <w:rsid w:val="00B157B2"/>
    <w:rsid w:val="00B26D40"/>
    <w:rsid w:val="00B40B74"/>
    <w:rsid w:val="00B442B0"/>
    <w:rsid w:val="00B74462"/>
    <w:rsid w:val="00B867E8"/>
    <w:rsid w:val="00B8726C"/>
    <w:rsid w:val="00B9182B"/>
    <w:rsid w:val="00BA299F"/>
    <w:rsid w:val="00BB4951"/>
    <w:rsid w:val="00BC580E"/>
    <w:rsid w:val="00BC6DBA"/>
    <w:rsid w:val="00BD65F9"/>
    <w:rsid w:val="00C023E1"/>
    <w:rsid w:val="00C05ECB"/>
    <w:rsid w:val="00C067DB"/>
    <w:rsid w:val="00C13BE8"/>
    <w:rsid w:val="00C15079"/>
    <w:rsid w:val="00C36771"/>
    <w:rsid w:val="00C40D8E"/>
    <w:rsid w:val="00C41F7C"/>
    <w:rsid w:val="00C555C0"/>
    <w:rsid w:val="00C56D55"/>
    <w:rsid w:val="00C56ED1"/>
    <w:rsid w:val="00C6266D"/>
    <w:rsid w:val="00C65332"/>
    <w:rsid w:val="00C873D1"/>
    <w:rsid w:val="00CA1F78"/>
    <w:rsid w:val="00CA44CC"/>
    <w:rsid w:val="00CA63AA"/>
    <w:rsid w:val="00CB0B14"/>
    <w:rsid w:val="00CB5533"/>
    <w:rsid w:val="00CC5EFF"/>
    <w:rsid w:val="00CD4B3B"/>
    <w:rsid w:val="00CE0336"/>
    <w:rsid w:val="00CE1A55"/>
    <w:rsid w:val="00D00FDF"/>
    <w:rsid w:val="00D128E9"/>
    <w:rsid w:val="00D12F11"/>
    <w:rsid w:val="00D14D08"/>
    <w:rsid w:val="00D22910"/>
    <w:rsid w:val="00D22D71"/>
    <w:rsid w:val="00D23CA7"/>
    <w:rsid w:val="00D328B1"/>
    <w:rsid w:val="00D351B6"/>
    <w:rsid w:val="00D41B2C"/>
    <w:rsid w:val="00D41BF0"/>
    <w:rsid w:val="00D5686F"/>
    <w:rsid w:val="00D66F85"/>
    <w:rsid w:val="00D77386"/>
    <w:rsid w:val="00D838AD"/>
    <w:rsid w:val="00D85003"/>
    <w:rsid w:val="00DA0284"/>
    <w:rsid w:val="00DC0449"/>
    <w:rsid w:val="00DD3B93"/>
    <w:rsid w:val="00DD7B24"/>
    <w:rsid w:val="00DE55E9"/>
    <w:rsid w:val="00DF1C22"/>
    <w:rsid w:val="00E047B9"/>
    <w:rsid w:val="00E115F7"/>
    <w:rsid w:val="00E1674F"/>
    <w:rsid w:val="00E24790"/>
    <w:rsid w:val="00E26D18"/>
    <w:rsid w:val="00E37914"/>
    <w:rsid w:val="00E62679"/>
    <w:rsid w:val="00E63B8B"/>
    <w:rsid w:val="00E805DC"/>
    <w:rsid w:val="00E94B86"/>
    <w:rsid w:val="00EB168F"/>
    <w:rsid w:val="00EB1983"/>
    <w:rsid w:val="00EB38A7"/>
    <w:rsid w:val="00EC5B25"/>
    <w:rsid w:val="00ED4364"/>
    <w:rsid w:val="00EE29B8"/>
    <w:rsid w:val="00EF54F7"/>
    <w:rsid w:val="00F039F3"/>
    <w:rsid w:val="00F10954"/>
    <w:rsid w:val="00F1097F"/>
    <w:rsid w:val="00F1497D"/>
    <w:rsid w:val="00F4160E"/>
    <w:rsid w:val="00F54349"/>
    <w:rsid w:val="00F54D29"/>
    <w:rsid w:val="00F63BE6"/>
    <w:rsid w:val="00F73412"/>
    <w:rsid w:val="00F735B1"/>
    <w:rsid w:val="00F774D0"/>
    <w:rsid w:val="00F8175C"/>
    <w:rsid w:val="00F917ED"/>
    <w:rsid w:val="00F96177"/>
    <w:rsid w:val="00FA1C33"/>
    <w:rsid w:val="00FB3B5C"/>
    <w:rsid w:val="00FC43EE"/>
    <w:rsid w:val="00FD2CBA"/>
    <w:rsid w:val="00FD2ECC"/>
    <w:rsid w:val="00FD3663"/>
    <w:rsid w:val="00FD4F2C"/>
    <w:rsid w:val="00FD5B3D"/>
    <w:rsid w:val="00FF3C1C"/>
    <w:rsid w:val="00FF6983"/>
    <w:rsid w:val="00FF7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55BD"/>
    <w:pPr>
      <w:jc w:val="both"/>
    </w:pPr>
    <w:rPr>
      <w:sz w:val="24"/>
      <w:szCs w:val="24"/>
    </w:rPr>
  </w:style>
  <w:style w:type="paragraph" w:styleId="Kop1">
    <w:name w:val="heading 1"/>
    <w:basedOn w:val="Standaard"/>
    <w:next w:val="Standaard"/>
    <w:link w:val="Kop1Char"/>
    <w:uiPriority w:val="9"/>
    <w:qFormat/>
    <w:rsid w:val="009C6B8B"/>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9C6B8B"/>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9C6B8B"/>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Kop4">
    <w:name w:val="heading 4"/>
    <w:basedOn w:val="Standaard"/>
    <w:next w:val="Standaard"/>
    <w:link w:val="Kop4Char"/>
    <w:uiPriority w:val="9"/>
    <w:unhideWhenUsed/>
    <w:qFormat/>
    <w:rsid w:val="009C6B8B"/>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Kop5">
    <w:name w:val="heading 5"/>
    <w:basedOn w:val="Standaard"/>
    <w:next w:val="Standaard"/>
    <w:link w:val="Kop5Char"/>
    <w:uiPriority w:val="9"/>
    <w:unhideWhenUsed/>
    <w:qFormat/>
    <w:rsid w:val="009C6B8B"/>
    <w:pPr>
      <w:pBdr>
        <w:bottom w:val="single" w:sz="6" w:space="1" w:color="DDDDDD" w:themeColor="accent1"/>
      </w:pBdr>
      <w:spacing w:before="300" w:after="0"/>
      <w:outlineLvl w:val="4"/>
    </w:pPr>
    <w:rPr>
      <w:caps/>
      <w:color w:val="A5A5A5" w:themeColor="accent1" w:themeShade="BF"/>
      <w:spacing w:val="10"/>
      <w:sz w:val="22"/>
      <w:szCs w:val="22"/>
    </w:rPr>
  </w:style>
  <w:style w:type="paragraph" w:styleId="Kop6">
    <w:name w:val="heading 6"/>
    <w:basedOn w:val="Standaard"/>
    <w:next w:val="Standaard"/>
    <w:link w:val="Kop6Char"/>
    <w:uiPriority w:val="9"/>
    <w:semiHidden/>
    <w:unhideWhenUsed/>
    <w:qFormat/>
    <w:rsid w:val="009C6B8B"/>
    <w:pPr>
      <w:pBdr>
        <w:bottom w:val="dotted" w:sz="6" w:space="1" w:color="DDDDDD" w:themeColor="accent1"/>
      </w:pBdr>
      <w:spacing w:before="300" w:after="0"/>
      <w:outlineLvl w:val="5"/>
    </w:pPr>
    <w:rPr>
      <w:caps/>
      <w:color w:val="A5A5A5" w:themeColor="accent1" w:themeShade="BF"/>
      <w:spacing w:val="10"/>
      <w:sz w:val="22"/>
      <w:szCs w:val="22"/>
    </w:rPr>
  </w:style>
  <w:style w:type="paragraph" w:styleId="Kop7">
    <w:name w:val="heading 7"/>
    <w:basedOn w:val="Standaard"/>
    <w:next w:val="Standaard"/>
    <w:link w:val="Kop7Char"/>
    <w:uiPriority w:val="9"/>
    <w:semiHidden/>
    <w:unhideWhenUsed/>
    <w:qFormat/>
    <w:rsid w:val="009C6B8B"/>
    <w:pPr>
      <w:spacing w:before="300" w:after="0"/>
      <w:outlineLvl w:val="6"/>
    </w:pPr>
    <w:rPr>
      <w:caps/>
      <w:color w:val="A5A5A5" w:themeColor="accent1" w:themeShade="BF"/>
      <w:spacing w:val="10"/>
      <w:sz w:val="22"/>
      <w:szCs w:val="22"/>
    </w:rPr>
  </w:style>
  <w:style w:type="paragraph" w:styleId="Kop8">
    <w:name w:val="heading 8"/>
    <w:basedOn w:val="Standaard"/>
    <w:next w:val="Standaard"/>
    <w:link w:val="Kop8Char"/>
    <w:uiPriority w:val="9"/>
    <w:semiHidden/>
    <w:unhideWhenUsed/>
    <w:qFormat/>
    <w:rsid w:val="009C6B8B"/>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C6B8B"/>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6B8B"/>
    <w:rPr>
      <w:b/>
      <w:bCs/>
      <w:caps/>
      <w:color w:val="FFFFFF" w:themeColor="background1"/>
      <w:spacing w:val="15"/>
      <w:shd w:val="clear" w:color="auto" w:fill="DDDDDD" w:themeFill="accent1"/>
    </w:rPr>
  </w:style>
  <w:style w:type="character" w:customStyle="1" w:styleId="Kop2Char">
    <w:name w:val="Kop 2 Char"/>
    <w:basedOn w:val="Standaardalinea-lettertype"/>
    <w:link w:val="Kop2"/>
    <w:uiPriority w:val="9"/>
    <w:rsid w:val="009C6B8B"/>
    <w:rPr>
      <w:caps/>
      <w:spacing w:val="15"/>
      <w:shd w:val="clear" w:color="auto" w:fill="F8F8F8" w:themeFill="accent1" w:themeFillTint="33"/>
    </w:rPr>
  </w:style>
  <w:style w:type="character" w:customStyle="1" w:styleId="Kop3Char">
    <w:name w:val="Kop 3 Char"/>
    <w:basedOn w:val="Standaardalinea-lettertype"/>
    <w:link w:val="Kop3"/>
    <w:uiPriority w:val="9"/>
    <w:rsid w:val="009C6B8B"/>
    <w:rPr>
      <w:caps/>
      <w:color w:val="6E6E6E" w:themeColor="accent1" w:themeShade="7F"/>
      <w:spacing w:val="15"/>
    </w:rPr>
  </w:style>
  <w:style w:type="character" w:customStyle="1" w:styleId="Kop4Char">
    <w:name w:val="Kop 4 Char"/>
    <w:basedOn w:val="Standaardalinea-lettertype"/>
    <w:link w:val="Kop4"/>
    <w:uiPriority w:val="9"/>
    <w:rsid w:val="009C6B8B"/>
    <w:rPr>
      <w:caps/>
      <w:color w:val="A5A5A5" w:themeColor="accent1" w:themeShade="BF"/>
      <w:spacing w:val="10"/>
    </w:rPr>
  </w:style>
  <w:style w:type="character" w:customStyle="1" w:styleId="Kop5Char">
    <w:name w:val="Kop 5 Char"/>
    <w:basedOn w:val="Standaardalinea-lettertype"/>
    <w:link w:val="Kop5"/>
    <w:uiPriority w:val="9"/>
    <w:rsid w:val="009C6B8B"/>
    <w:rPr>
      <w:caps/>
      <w:color w:val="A5A5A5" w:themeColor="accent1" w:themeShade="BF"/>
      <w:spacing w:val="10"/>
    </w:rPr>
  </w:style>
  <w:style w:type="character" w:customStyle="1" w:styleId="Kop6Char">
    <w:name w:val="Kop 6 Char"/>
    <w:basedOn w:val="Standaardalinea-lettertype"/>
    <w:link w:val="Kop6"/>
    <w:uiPriority w:val="9"/>
    <w:semiHidden/>
    <w:rsid w:val="009C6B8B"/>
    <w:rPr>
      <w:caps/>
      <w:color w:val="A5A5A5" w:themeColor="accent1" w:themeShade="BF"/>
      <w:spacing w:val="10"/>
    </w:rPr>
  </w:style>
  <w:style w:type="character" w:customStyle="1" w:styleId="Kop7Char">
    <w:name w:val="Kop 7 Char"/>
    <w:basedOn w:val="Standaardalinea-lettertype"/>
    <w:link w:val="Kop7"/>
    <w:uiPriority w:val="9"/>
    <w:semiHidden/>
    <w:rsid w:val="009C6B8B"/>
    <w:rPr>
      <w:caps/>
      <w:color w:val="A5A5A5" w:themeColor="accent1" w:themeShade="BF"/>
      <w:spacing w:val="10"/>
    </w:rPr>
  </w:style>
  <w:style w:type="character" w:customStyle="1" w:styleId="Kop8Char">
    <w:name w:val="Kop 8 Char"/>
    <w:basedOn w:val="Standaardalinea-lettertype"/>
    <w:link w:val="Kop8"/>
    <w:uiPriority w:val="9"/>
    <w:semiHidden/>
    <w:rsid w:val="009C6B8B"/>
    <w:rPr>
      <w:caps/>
      <w:spacing w:val="10"/>
      <w:sz w:val="18"/>
      <w:szCs w:val="18"/>
    </w:rPr>
  </w:style>
  <w:style w:type="character" w:customStyle="1" w:styleId="Kop9Char">
    <w:name w:val="Kop 9 Char"/>
    <w:basedOn w:val="Standaardalinea-lettertype"/>
    <w:link w:val="Kop9"/>
    <w:uiPriority w:val="9"/>
    <w:semiHidden/>
    <w:rsid w:val="009C6B8B"/>
    <w:rPr>
      <w:i/>
      <w:caps/>
      <w:spacing w:val="10"/>
      <w:sz w:val="18"/>
      <w:szCs w:val="18"/>
    </w:rPr>
  </w:style>
  <w:style w:type="paragraph" w:styleId="Bijschrift">
    <w:name w:val="caption"/>
    <w:basedOn w:val="Standaard"/>
    <w:next w:val="Standaard"/>
    <w:uiPriority w:val="35"/>
    <w:semiHidden/>
    <w:unhideWhenUsed/>
    <w:qFormat/>
    <w:rsid w:val="009C6B8B"/>
    <w:rPr>
      <w:b/>
      <w:bCs/>
      <w:color w:val="A5A5A5" w:themeColor="accent1" w:themeShade="BF"/>
      <w:sz w:val="16"/>
      <w:szCs w:val="16"/>
    </w:rPr>
  </w:style>
  <w:style w:type="paragraph" w:styleId="Titel">
    <w:name w:val="Title"/>
    <w:basedOn w:val="Standaard"/>
    <w:next w:val="Standaard"/>
    <w:link w:val="TitelChar"/>
    <w:uiPriority w:val="10"/>
    <w:qFormat/>
    <w:rsid w:val="009C6B8B"/>
    <w:pPr>
      <w:spacing w:before="720"/>
    </w:pPr>
    <w:rPr>
      <w:caps/>
      <w:color w:val="DDDDDD" w:themeColor="accent1"/>
      <w:spacing w:val="10"/>
      <w:kern w:val="28"/>
      <w:sz w:val="52"/>
      <w:szCs w:val="52"/>
    </w:rPr>
  </w:style>
  <w:style w:type="character" w:customStyle="1" w:styleId="TitelChar">
    <w:name w:val="Titel Char"/>
    <w:basedOn w:val="Standaardalinea-lettertype"/>
    <w:link w:val="Titel"/>
    <w:uiPriority w:val="10"/>
    <w:rsid w:val="009C6B8B"/>
    <w:rPr>
      <w:caps/>
      <w:color w:val="DDDDDD" w:themeColor="accent1"/>
      <w:spacing w:val="10"/>
      <w:kern w:val="28"/>
      <w:sz w:val="52"/>
      <w:szCs w:val="52"/>
    </w:rPr>
  </w:style>
  <w:style w:type="paragraph" w:styleId="Ondertitel">
    <w:name w:val="Subtitle"/>
    <w:basedOn w:val="Standaard"/>
    <w:next w:val="Standaard"/>
    <w:link w:val="OndertitelChar"/>
    <w:uiPriority w:val="11"/>
    <w:qFormat/>
    <w:rsid w:val="009C6B8B"/>
    <w:pPr>
      <w:spacing w:after="1000" w:line="240" w:lineRule="auto"/>
    </w:pPr>
    <w:rPr>
      <w:caps/>
      <w:color w:val="595959" w:themeColor="text1" w:themeTint="A6"/>
      <w:spacing w:val="10"/>
    </w:rPr>
  </w:style>
  <w:style w:type="character" w:customStyle="1" w:styleId="OndertitelChar">
    <w:name w:val="Ondertitel Char"/>
    <w:basedOn w:val="Standaardalinea-lettertype"/>
    <w:link w:val="Ondertitel"/>
    <w:uiPriority w:val="11"/>
    <w:rsid w:val="009C6B8B"/>
    <w:rPr>
      <w:caps/>
      <w:color w:val="595959" w:themeColor="text1" w:themeTint="A6"/>
      <w:spacing w:val="10"/>
      <w:sz w:val="24"/>
      <w:szCs w:val="24"/>
    </w:rPr>
  </w:style>
  <w:style w:type="character" w:styleId="Zwaar">
    <w:name w:val="Strong"/>
    <w:uiPriority w:val="22"/>
    <w:qFormat/>
    <w:rsid w:val="009C6B8B"/>
    <w:rPr>
      <w:b/>
      <w:bCs/>
    </w:rPr>
  </w:style>
  <w:style w:type="character" w:styleId="Nadruk">
    <w:name w:val="Emphasis"/>
    <w:uiPriority w:val="20"/>
    <w:qFormat/>
    <w:rsid w:val="009C6B8B"/>
    <w:rPr>
      <w:caps/>
      <w:color w:val="6E6E6E" w:themeColor="accent1" w:themeShade="7F"/>
      <w:spacing w:val="5"/>
    </w:rPr>
  </w:style>
  <w:style w:type="paragraph" w:styleId="Geenafstand">
    <w:name w:val="No Spacing"/>
    <w:basedOn w:val="Standaard"/>
    <w:link w:val="GeenafstandChar"/>
    <w:uiPriority w:val="1"/>
    <w:qFormat/>
    <w:rsid w:val="009C6B8B"/>
    <w:pPr>
      <w:spacing w:before="0" w:after="0" w:line="240" w:lineRule="auto"/>
    </w:pPr>
  </w:style>
  <w:style w:type="character" w:customStyle="1" w:styleId="GeenafstandChar">
    <w:name w:val="Geen afstand Char"/>
    <w:basedOn w:val="Standaardalinea-lettertype"/>
    <w:link w:val="Geenafstand"/>
    <w:uiPriority w:val="1"/>
    <w:rsid w:val="009C6B8B"/>
    <w:rPr>
      <w:sz w:val="20"/>
      <w:szCs w:val="20"/>
    </w:rPr>
  </w:style>
  <w:style w:type="paragraph" w:styleId="Lijstalinea">
    <w:name w:val="List Paragraph"/>
    <w:basedOn w:val="Standaard"/>
    <w:uiPriority w:val="34"/>
    <w:qFormat/>
    <w:rsid w:val="009C6B8B"/>
    <w:pPr>
      <w:ind w:left="720"/>
      <w:contextualSpacing/>
    </w:pPr>
  </w:style>
  <w:style w:type="paragraph" w:styleId="Citaat">
    <w:name w:val="Quote"/>
    <w:basedOn w:val="Standaard"/>
    <w:next w:val="Standaard"/>
    <w:link w:val="CitaatChar"/>
    <w:uiPriority w:val="29"/>
    <w:qFormat/>
    <w:rsid w:val="009C6B8B"/>
    <w:rPr>
      <w:i/>
      <w:iCs/>
    </w:rPr>
  </w:style>
  <w:style w:type="character" w:customStyle="1" w:styleId="CitaatChar">
    <w:name w:val="Citaat Char"/>
    <w:basedOn w:val="Standaardalinea-lettertype"/>
    <w:link w:val="Citaat"/>
    <w:uiPriority w:val="29"/>
    <w:rsid w:val="009C6B8B"/>
    <w:rPr>
      <w:i/>
      <w:iCs/>
      <w:sz w:val="20"/>
      <w:szCs w:val="20"/>
    </w:rPr>
  </w:style>
  <w:style w:type="paragraph" w:styleId="Duidelijkcitaat">
    <w:name w:val="Intense Quote"/>
    <w:basedOn w:val="Standaard"/>
    <w:next w:val="Standaard"/>
    <w:link w:val="DuidelijkcitaatChar"/>
    <w:uiPriority w:val="30"/>
    <w:qFormat/>
    <w:rsid w:val="009C6B8B"/>
    <w:pPr>
      <w:pBdr>
        <w:top w:val="single" w:sz="4" w:space="10" w:color="DDDDDD" w:themeColor="accent1"/>
        <w:left w:val="single" w:sz="4" w:space="10" w:color="DDDDDD" w:themeColor="accent1"/>
      </w:pBdr>
      <w:spacing w:after="0"/>
      <w:ind w:left="1296" w:right="1152"/>
    </w:pPr>
    <w:rPr>
      <w:i/>
      <w:iCs/>
      <w:color w:val="DDDDDD" w:themeColor="accent1"/>
    </w:rPr>
  </w:style>
  <w:style w:type="character" w:customStyle="1" w:styleId="DuidelijkcitaatChar">
    <w:name w:val="Duidelijk citaat Char"/>
    <w:basedOn w:val="Standaardalinea-lettertype"/>
    <w:link w:val="Duidelijkcitaat"/>
    <w:uiPriority w:val="30"/>
    <w:rsid w:val="009C6B8B"/>
    <w:rPr>
      <w:i/>
      <w:iCs/>
      <w:color w:val="DDDDDD" w:themeColor="accent1"/>
      <w:sz w:val="20"/>
      <w:szCs w:val="20"/>
    </w:rPr>
  </w:style>
  <w:style w:type="character" w:styleId="Subtielebenadrukking">
    <w:name w:val="Subtle Emphasis"/>
    <w:uiPriority w:val="19"/>
    <w:qFormat/>
    <w:rsid w:val="009C6B8B"/>
    <w:rPr>
      <w:i/>
      <w:iCs/>
      <w:color w:val="6E6E6E" w:themeColor="accent1" w:themeShade="7F"/>
    </w:rPr>
  </w:style>
  <w:style w:type="character" w:styleId="Intensievebenadrukking">
    <w:name w:val="Intense Emphasis"/>
    <w:uiPriority w:val="21"/>
    <w:qFormat/>
    <w:rsid w:val="009C6B8B"/>
    <w:rPr>
      <w:b/>
      <w:bCs/>
      <w:caps/>
      <w:color w:val="6E6E6E" w:themeColor="accent1" w:themeShade="7F"/>
      <w:spacing w:val="10"/>
    </w:rPr>
  </w:style>
  <w:style w:type="character" w:styleId="Subtieleverwijzing">
    <w:name w:val="Subtle Reference"/>
    <w:uiPriority w:val="31"/>
    <w:qFormat/>
    <w:rsid w:val="009C6B8B"/>
    <w:rPr>
      <w:b/>
      <w:bCs/>
      <w:color w:val="DDDDDD" w:themeColor="accent1"/>
    </w:rPr>
  </w:style>
  <w:style w:type="character" w:styleId="Intensieveverwijzing">
    <w:name w:val="Intense Reference"/>
    <w:uiPriority w:val="32"/>
    <w:qFormat/>
    <w:rsid w:val="009C6B8B"/>
    <w:rPr>
      <w:b/>
      <w:bCs/>
      <w:i/>
      <w:iCs/>
      <w:caps/>
      <w:color w:val="DDDDDD" w:themeColor="accent1"/>
    </w:rPr>
  </w:style>
  <w:style w:type="character" w:styleId="Titelvanboek">
    <w:name w:val="Book Title"/>
    <w:uiPriority w:val="33"/>
    <w:qFormat/>
    <w:rsid w:val="009C6B8B"/>
    <w:rPr>
      <w:b/>
      <w:bCs/>
      <w:i/>
      <w:iCs/>
      <w:spacing w:val="9"/>
    </w:rPr>
  </w:style>
  <w:style w:type="paragraph" w:styleId="Kopvaninhoudsopgave">
    <w:name w:val="TOC Heading"/>
    <w:basedOn w:val="Kop1"/>
    <w:next w:val="Standaard"/>
    <w:uiPriority w:val="39"/>
    <w:semiHidden/>
    <w:unhideWhenUsed/>
    <w:qFormat/>
    <w:rsid w:val="009C6B8B"/>
    <w:pPr>
      <w:outlineLvl w:val="9"/>
    </w:pPr>
    <w:rPr>
      <w:lang w:bidi="en-US"/>
    </w:rPr>
  </w:style>
  <w:style w:type="paragraph" w:customStyle="1" w:styleId="Default">
    <w:name w:val="Default"/>
    <w:rsid w:val="00094EB9"/>
    <w:pPr>
      <w:autoSpaceDE w:val="0"/>
      <w:autoSpaceDN w:val="0"/>
      <w:adjustRightInd w:val="0"/>
      <w:spacing w:before="0" w:after="0" w:line="240" w:lineRule="auto"/>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741E77"/>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741E77"/>
    <w:rPr>
      <w:sz w:val="20"/>
      <w:szCs w:val="20"/>
    </w:rPr>
  </w:style>
  <w:style w:type="character" w:styleId="Voetnootmarkering">
    <w:name w:val="footnote reference"/>
    <w:basedOn w:val="Standaardalinea-lettertype"/>
    <w:uiPriority w:val="99"/>
    <w:semiHidden/>
    <w:unhideWhenUsed/>
    <w:rsid w:val="00741E77"/>
    <w:rPr>
      <w:vertAlign w:val="superscript"/>
    </w:rPr>
  </w:style>
  <w:style w:type="character" w:styleId="Hyperlink">
    <w:name w:val="Hyperlink"/>
    <w:basedOn w:val="Standaardalinea-lettertype"/>
    <w:uiPriority w:val="99"/>
    <w:unhideWhenUsed/>
    <w:rsid w:val="00D22910"/>
    <w:rPr>
      <w:color w:val="5F5F5F" w:themeColor="hyperlink"/>
      <w:u w:val="single"/>
    </w:rPr>
  </w:style>
  <w:style w:type="character" w:customStyle="1" w:styleId="SingleTxtGChar">
    <w:name w:val="_ Single Txt_G Char"/>
    <w:link w:val="SingleTxtG"/>
    <w:locked/>
    <w:rsid w:val="00A17A34"/>
    <w:rPr>
      <w:lang w:val="en-GB"/>
    </w:rPr>
  </w:style>
  <w:style w:type="paragraph" w:customStyle="1" w:styleId="SingleTxtG">
    <w:name w:val="_ Single Txt_G"/>
    <w:basedOn w:val="Standaard"/>
    <w:link w:val="SingleTxtGChar"/>
    <w:rsid w:val="00A17A34"/>
    <w:pPr>
      <w:suppressAutoHyphens/>
      <w:spacing w:before="0" w:after="120" w:line="240" w:lineRule="atLeast"/>
      <w:ind w:left="1134" w:right="1134"/>
    </w:pPr>
    <w:rPr>
      <w:sz w:val="22"/>
      <w:szCs w:val="22"/>
      <w:lang w:val="en-GB"/>
    </w:rPr>
  </w:style>
  <w:style w:type="character" w:customStyle="1" w:styleId="apple-converted-space">
    <w:name w:val="apple-converted-space"/>
    <w:basedOn w:val="Standaardalinea-lettertype"/>
    <w:rsid w:val="00EB38A7"/>
  </w:style>
  <w:style w:type="character" w:styleId="Verwijzingopmerking">
    <w:name w:val="annotation reference"/>
    <w:basedOn w:val="Standaardalinea-lettertype"/>
    <w:uiPriority w:val="99"/>
    <w:semiHidden/>
    <w:unhideWhenUsed/>
    <w:rsid w:val="00C56ED1"/>
    <w:rPr>
      <w:sz w:val="16"/>
      <w:szCs w:val="16"/>
    </w:rPr>
  </w:style>
  <w:style w:type="paragraph" w:styleId="Tekstopmerking">
    <w:name w:val="annotation text"/>
    <w:basedOn w:val="Standaard"/>
    <w:link w:val="TekstopmerkingChar"/>
    <w:uiPriority w:val="99"/>
    <w:semiHidden/>
    <w:unhideWhenUsed/>
    <w:rsid w:val="00C56E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6ED1"/>
    <w:rPr>
      <w:sz w:val="20"/>
      <w:szCs w:val="20"/>
    </w:rPr>
  </w:style>
  <w:style w:type="paragraph" w:styleId="Onderwerpvanopmerking">
    <w:name w:val="annotation subject"/>
    <w:basedOn w:val="Tekstopmerking"/>
    <w:next w:val="Tekstopmerking"/>
    <w:link w:val="OnderwerpvanopmerkingChar"/>
    <w:uiPriority w:val="99"/>
    <w:semiHidden/>
    <w:unhideWhenUsed/>
    <w:rsid w:val="00C56ED1"/>
    <w:rPr>
      <w:b/>
      <w:bCs/>
    </w:rPr>
  </w:style>
  <w:style w:type="character" w:customStyle="1" w:styleId="OnderwerpvanopmerkingChar">
    <w:name w:val="Onderwerp van opmerking Char"/>
    <w:basedOn w:val="TekstopmerkingChar"/>
    <w:link w:val="Onderwerpvanopmerking"/>
    <w:uiPriority w:val="99"/>
    <w:semiHidden/>
    <w:rsid w:val="00C56ED1"/>
    <w:rPr>
      <w:b/>
      <w:bCs/>
      <w:sz w:val="20"/>
      <w:szCs w:val="20"/>
    </w:rPr>
  </w:style>
  <w:style w:type="paragraph" w:styleId="Ballontekst">
    <w:name w:val="Balloon Text"/>
    <w:basedOn w:val="Standaard"/>
    <w:link w:val="BallontekstChar"/>
    <w:uiPriority w:val="99"/>
    <w:semiHidden/>
    <w:unhideWhenUsed/>
    <w:rsid w:val="00C56ED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6ED1"/>
    <w:rPr>
      <w:rFonts w:ascii="Tahoma" w:hAnsi="Tahoma" w:cs="Tahoma"/>
      <w:sz w:val="16"/>
      <w:szCs w:val="16"/>
    </w:rPr>
  </w:style>
  <w:style w:type="paragraph" w:styleId="Koptekst">
    <w:name w:val="header"/>
    <w:basedOn w:val="Standaard"/>
    <w:link w:val="KoptekstChar"/>
    <w:uiPriority w:val="99"/>
    <w:unhideWhenUsed/>
    <w:rsid w:val="00F5434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54349"/>
    <w:rPr>
      <w:sz w:val="24"/>
      <w:szCs w:val="24"/>
    </w:rPr>
  </w:style>
  <w:style w:type="paragraph" w:styleId="Voettekst">
    <w:name w:val="footer"/>
    <w:basedOn w:val="Standaard"/>
    <w:link w:val="VoettekstChar"/>
    <w:uiPriority w:val="99"/>
    <w:unhideWhenUsed/>
    <w:rsid w:val="00F5434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54349"/>
    <w:rPr>
      <w:sz w:val="24"/>
      <w:szCs w:val="24"/>
    </w:rPr>
  </w:style>
  <w:style w:type="paragraph" w:styleId="Revisie">
    <w:name w:val="Revision"/>
    <w:hidden/>
    <w:uiPriority w:val="99"/>
    <w:semiHidden/>
    <w:rsid w:val="007B280A"/>
    <w:pPr>
      <w:spacing w:before="0" w:after="0" w:line="240" w:lineRule="auto"/>
    </w:pPr>
    <w:rPr>
      <w:sz w:val="24"/>
      <w:szCs w:val="24"/>
    </w:rPr>
  </w:style>
  <w:style w:type="paragraph" w:styleId="HTML-adres">
    <w:name w:val="HTML Address"/>
    <w:basedOn w:val="Standaard"/>
    <w:link w:val="HTML-adresChar"/>
    <w:rsid w:val="00E26D18"/>
    <w:pPr>
      <w:spacing w:before="0" w:after="0" w:line="240" w:lineRule="auto"/>
      <w:jc w:val="left"/>
    </w:pPr>
    <w:rPr>
      <w:rFonts w:ascii="Times New Roman" w:eastAsia="Times New Roman" w:hAnsi="Times New Roman" w:cs="Times New Roman"/>
      <w:i/>
      <w:iCs/>
      <w:lang w:val="en-US"/>
    </w:rPr>
  </w:style>
  <w:style w:type="character" w:customStyle="1" w:styleId="HTML-adresChar">
    <w:name w:val="HTML-adres Char"/>
    <w:basedOn w:val="Standaardalinea-lettertype"/>
    <w:link w:val="HTML-adres"/>
    <w:rsid w:val="00E26D18"/>
    <w:rPr>
      <w:rFonts w:ascii="Times New Roman" w:eastAsia="Times New Roman" w:hAnsi="Times New Roman" w:cs="Times New Roman"/>
      <w:i/>
      <w:iCs/>
      <w:sz w:val="24"/>
      <w:szCs w:val="24"/>
      <w:lang w:val="en-US"/>
    </w:rPr>
  </w:style>
  <w:style w:type="character" w:customStyle="1" w:styleId="street">
    <w:name w:val="street"/>
    <w:basedOn w:val="Standaardalinea-lettertype"/>
    <w:rsid w:val="00E26D18"/>
  </w:style>
  <w:style w:type="character" w:customStyle="1" w:styleId="city">
    <w:name w:val="city"/>
    <w:basedOn w:val="Standaardalinea-lettertype"/>
    <w:rsid w:val="00E2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3205">
      <w:bodyDiv w:val="1"/>
      <w:marLeft w:val="0"/>
      <w:marRight w:val="0"/>
      <w:marTop w:val="0"/>
      <w:marBottom w:val="0"/>
      <w:divBdr>
        <w:top w:val="none" w:sz="0" w:space="0" w:color="auto"/>
        <w:left w:val="none" w:sz="0" w:space="0" w:color="auto"/>
        <w:bottom w:val="none" w:sz="0" w:space="0" w:color="auto"/>
        <w:right w:val="none" w:sz="0" w:space="0" w:color="auto"/>
      </w:divBdr>
    </w:div>
    <w:div w:id="660353978">
      <w:bodyDiv w:val="1"/>
      <w:marLeft w:val="0"/>
      <w:marRight w:val="0"/>
      <w:marTop w:val="0"/>
      <w:marBottom w:val="0"/>
      <w:divBdr>
        <w:top w:val="none" w:sz="0" w:space="0" w:color="auto"/>
        <w:left w:val="none" w:sz="0" w:space="0" w:color="auto"/>
        <w:bottom w:val="none" w:sz="0" w:space="0" w:color="auto"/>
        <w:right w:val="none" w:sz="0" w:space="0" w:color="auto"/>
      </w:divBdr>
    </w:div>
    <w:div w:id="1100416015">
      <w:bodyDiv w:val="1"/>
      <w:marLeft w:val="0"/>
      <w:marRight w:val="0"/>
      <w:marTop w:val="0"/>
      <w:marBottom w:val="0"/>
      <w:divBdr>
        <w:top w:val="none" w:sz="0" w:space="0" w:color="auto"/>
        <w:left w:val="none" w:sz="0" w:space="0" w:color="auto"/>
        <w:bottom w:val="none" w:sz="0" w:space="0" w:color="auto"/>
        <w:right w:val="none" w:sz="0" w:space="0" w:color="auto"/>
      </w:divBdr>
    </w:div>
    <w:div w:id="1171025526">
      <w:bodyDiv w:val="1"/>
      <w:marLeft w:val="0"/>
      <w:marRight w:val="0"/>
      <w:marTop w:val="0"/>
      <w:marBottom w:val="0"/>
      <w:divBdr>
        <w:top w:val="none" w:sz="0" w:space="0" w:color="auto"/>
        <w:left w:val="none" w:sz="0" w:space="0" w:color="auto"/>
        <w:bottom w:val="none" w:sz="0" w:space="0" w:color="auto"/>
        <w:right w:val="none" w:sz="0" w:space="0" w:color="auto"/>
      </w:divBdr>
    </w:div>
    <w:div w:id="1580822542">
      <w:bodyDiv w:val="1"/>
      <w:marLeft w:val="0"/>
      <w:marRight w:val="0"/>
      <w:marTop w:val="0"/>
      <w:marBottom w:val="0"/>
      <w:divBdr>
        <w:top w:val="none" w:sz="0" w:space="0" w:color="auto"/>
        <w:left w:val="none" w:sz="0" w:space="0" w:color="auto"/>
        <w:bottom w:val="none" w:sz="0" w:space="0" w:color="auto"/>
        <w:right w:val="none" w:sz="0" w:space="0" w:color="auto"/>
      </w:divBdr>
    </w:div>
    <w:div w:id="1808282734">
      <w:bodyDiv w:val="1"/>
      <w:marLeft w:val="0"/>
      <w:marRight w:val="0"/>
      <w:marTop w:val="0"/>
      <w:marBottom w:val="0"/>
      <w:divBdr>
        <w:top w:val="none" w:sz="0" w:space="0" w:color="auto"/>
        <w:left w:val="none" w:sz="0" w:space="0" w:color="auto"/>
        <w:bottom w:val="none" w:sz="0" w:space="0" w:color="auto"/>
        <w:right w:val="none" w:sz="0" w:space="0" w:color="auto"/>
      </w:divBdr>
    </w:div>
    <w:div w:id="20333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disability-studies.leeds.ac.uk/files/library/jolly-Personal-Assistance-and-Independent-Living1.pdf" TargetMode="External"/></Relationships>
</file>

<file path=word/theme/theme1.xml><?xml version="1.0" encoding="utf-8"?>
<a:theme xmlns:a="http://schemas.openxmlformats.org/drawingml/2006/main" name="Office Theme">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4423</Words>
  <Characters>25215</Characters>
  <Application>Microsoft Office Word</Application>
  <DocSecurity>4</DocSecurity>
  <Lines>210</Lines>
  <Paragraphs>59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2018-11-28T09:37:00Z</dcterms:created>
  <dcterms:modified xsi:type="dcterms:W3CDTF">2018-11-28T09:37:00Z</dcterms:modified>
</cp:coreProperties>
</file>