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1DC24" w14:textId="6404BD88" w:rsidR="00675829" w:rsidRPr="001D7810" w:rsidRDefault="00675829" w:rsidP="00A2640F">
      <w:pPr>
        <w:spacing w:line="276" w:lineRule="auto"/>
        <w:contextualSpacing/>
        <w:jc w:val="both"/>
        <w:rPr>
          <w:rFonts w:ascii="Arial" w:hAnsi="Arial" w:cs="Arial"/>
          <w:b/>
          <w:bCs/>
          <w:sz w:val="28"/>
          <w:szCs w:val="28"/>
        </w:rPr>
      </w:pPr>
    </w:p>
    <w:p w14:paraId="29CF8940" w14:textId="77777777" w:rsidR="00C47AB5" w:rsidRPr="001D7810" w:rsidRDefault="00C47AB5" w:rsidP="00BA298C">
      <w:pPr>
        <w:spacing w:line="276" w:lineRule="auto"/>
        <w:contextualSpacing/>
        <w:jc w:val="center"/>
        <w:rPr>
          <w:rFonts w:ascii="Arial" w:hAnsi="Arial" w:cs="Arial"/>
          <w:b/>
          <w:bCs/>
          <w:sz w:val="28"/>
          <w:szCs w:val="28"/>
        </w:rPr>
      </w:pPr>
    </w:p>
    <w:p w14:paraId="2D275653" w14:textId="59A28388" w:rsidR="00EF4C6C" w:rsidRPr="009D1CB6" w:rsidRDefault="00EF4C6C" w:rsidP="001D7810">
      <w:pPr>
        <w:spacing w:line="276" w:lineRule="auto"/>
        <w:contextualSpacing/>
        <w:jc w:val="center"/>
        <w:rPr>
          <w:rFonts w:ascii="Arial" w:hAnsi="Arial" w:cs="Arial"/>
          <w:b/>
          <w:bCs/>
          <w:color w:val="4472C4" w:themeColor="accent1"/>
          <w:sz w:val="36"/>
          <w:szCs w:val="36"/>
          <w:lang w:val="nl-BE"/>
        </w:rPr>
      </w:pPr>
      <w:r w:rsidRPr="001D7810">
        <w:rPr>
          <w:b/>
          <w:bCs/>
          <w:color w:val="4472C4" w:themeColor="accent1"/>
          <w:sz w:val="36"/>
          <w:szCs w:val="36"/>
          <w:lang w:val="nl"/>
        </w:rPr>
        <w:t>Freedom Drive 2022</w:t>
      </w:r>
    </w:p>
    <w:p w14:paraId="59277868" w14:textId="64799F51" w:rsidR="00EF4C6C" w:rsidRPr="009D1CB6" w:rsidRDefault="00EF4C6C" w:rsidP="00EF4C6C">
      <w:pPr>
        <w:spacing w:line="276" w:lineRule="auto"/>
        <w:contextualSpacing/>
        <w:jc w:val="center"/>
        <w:rPr>
          <w:rFonts w:ascii="Arial" w:hAnsi="Arial" w:cs="Arial"/>
          <w:b/>
          <w:bCs/>
          <w:color w:val="4472C4" w:themeColor="accent1"/>
          <w:sz w:val="36"/>
          <w:szCs w:val="36"/>
          <w:lang w:val="nl-BE"/>
        </w:rPr>
      </w:pPr>
      <w:r w:rsidRPr="001D7810">
        <w:rPr>
          <w:b/>
          <w:bCs/>
          <w:color w:val="4472C4" w:themeColor="accent1"/>
          <w:sz w:val="36"/>
          <w:szCs w:val="36"/>
          <w:lang w:val="nl"/>
        </w:rPr>
        <w:t>Freedom Drive Eisen</w:t>
      </w:r>
      <w:r w:rsidR="002D2C00">
        <w:rPr>
          <w:rStyle w:val="Voetnootmarkering"/>
          <w:b/>
          <w:bCs/>
          <w:color w:val="4472C4" w:themeColor="accent1"/>
          <w:sz w:val="36"/>
          <w:szCs w:val="36"/>
          <w:lang w:val="nl"/>
        </w:rPr>
        <w:footnoteReference w:id="1"/>
      </w:r>
      <w:r w:rsidRPr="001D7810">
        <w:rPr>
          <w:b/>
          <w:bCs/>
          <w:color w:val="4472C4" w:themeColor="accent1"/>
          <w:sz w:val="36"/>
          <w:szCs w:val="36"/>
          <w:lang w:val="nl"/>
        </w:rPr>
        <w:t xml:space="preserve"> </w:t>
      </w:r>
    </w:p>
    <w:p w14:paraId="468A2963" w14:textId="77777777" w:rsidR="00EF4C6C" w:rsidRPr="009D1CB6" w:rsidRDefault="00EF4C6C" w:rsidP="00A32D6B">
      <w:pPr>
        <w:spacing w:line="276" w:lineRule="auto"/>
        <w:contextualSpacing/>
        <w:rPr>
          <w:rFonts w:ascii="Arial" w:hAnsi="Arial" w:cs="Arial"/>
          <w:sz w:val="28"/>
          <w:szCs w:val="28"/>
          <w:lang w:val="nl-BE"/>
        </w:rPr>
      </w:pPr>
    </w:p>
    <w:p w14:paraId="0861069E" w14:textId="513BE65B" w:rsidR="00EF4C6C" w:rsidRPr="006055E1" w:rsidRDefault="00EF4C6C" w:rsidP="00EF4C6C">
      <w:pPr>
        <w:pStyle w:val="paragraph"/>
        <w:textAlignment w:val="baseline"/>
        <w:rPr>
          <w:rFonts w:asciiTheme="minorHAnsi" w:hAnsiTheme="minorHAnsi" w:cstheme="minorHAnsi"/>
          <w:sz w:val="28"/>
          <w:szCs w:val="28"/>
          <w:lang w:val="nl-BE"/>
        </w:rPr>
      </w:pPr>
      <w:r w:rsidRPr="006055E1">
        <w:rPr>
          <w:rFonts w:asciiTheme="minorHAnsi" w:hAnsiTheme="minorHAnsi" w:cstheme="minorHAnsi"/>
          <w:sz w:val="28"/>
          <w:szCs w:val="28"/>
          <w:lang w:val="nl"/>
        </w:rPr>
        <w:t xml:space="preserve">Van </w:t>
      </w:r>
      <w:r w:rsidR="00733747" w:rsidRPr="006055E1">
        <w:rPr>
          <w:rFonts w:asciiTheme="minorHAnsi" w:hAnsiTheme="minorHAnsi" w:cstheme="minorHAnsi"/>
          <w:sz w:val="28"/>
          <w:szCs w:val="28"/>
          <w:lang w:val="nl"/>
        </w:rPr>
        <w:t xml:space="preserve">26 </w:t>
      </w:r>
      <w:r w:rsidRPr="006055E1">
        <w:rPr>
          <w:rFonts w:asciiTheme="minorHAnsi" w:hAnsiTheme="minorHAnsi" w:cstheme="minorHAnsi"/>
          <w:sz w:val="28"/>
          <w:szCs w:val="28"/>
          <w:lang w:val="nl"/>
        </w:rPr>
        <w:t xml:space="preserve">tot 28 september 2022 houdt het European Network on Independent Living – ENIL zijn 10de editie van de Freedom Drive in Brussel. De </w:t>
      </w:r>
      <w:r w:rsidRPr="006055E1">
        <w:rPr>
          <w:rFonts w:asciiTheme="minorHAnsi" w:hAnsiTheme="minorHAnsi" w:cstheme="minorHAnsi"/>
          <w:b/>
          <w:bCs/>
          <w:sz w:val="28"/>
          <w:szCs w:val="28"/>
          <w:lang w:val="nl"/>
        </w:rPr>
        <w:t>Freedom Drive</w:t>
      </w:r>
      <w:r w:rsidRPr="006055E1">
        <w:rPr>
          <w:rFonts w:asciiTheme="minorHAnsi" w:hAnsiTheme="minorHAnsi" w:cstheme="minorHAnsi"/>
          <w:sz w:val="28"/>
          <w:szCs w:val="28"/>
          <w:lang w:val="nl"/>
        </w:rPr>
        <w:t xml:space="preserve"> is een van de belangrijkste campagnes van ENIL – het vindt sinds 2003 om de twee jaar plaats.</w:t>
      </w:r>
    </w:p>
    <w:p w14:paraId="0D478FED" w14:textId="02012188" w:rsidR="00EF4C6C" w:rsidRPr="006055E1" w:rsidRDefault="00EF4C6C" w:rsidP="00EF4C6C">
      <w:pPr>
        <w:pStyle w:val="paragraph"/>
        <w:jc w:val="both"/>
        <w:textAlignment w:val="baseline"/>
        <w:rPr>
          <w:rFonts w:asciiTheme="minorHAnsi" w:hAnsiTheme="minorHAnsi" w:cstheme="minorHAnsi"/>
          <w:sz w:val="28"/>
          <w:szCs w:val="28"/>
          <w:lang w:val="nl-BE"/>
        </w:rPr>
      </w:pPr>
      <w:r w:rsidRPr="006055E1">
        <w:rPr>
          <w:rStyle w:val="normaltextrun"/>
          <w:rFonts w:asciiTheme="minorHAnsi" w:hAnsiTheme="minorHAnsi" w:cstheme="minorHAnsi"/>
          <w:sz w:val="28"/>
          <w:szCs w:val="28"/>
          <w:lang w:val="nl"/>
        </w:rPr>
        <w:t xml:space="preserve">ENIL is een Europees netwerk van mensen met een handicap. Voor ons is Onafhankelijk Leven een proces van empowerment en emancipatie, dat gelijke kansen, rechten en volledige participatie in alle aspecten van de samenleving mogelijk maakt. Wij pleiten voor de volledige verwijdering van alle barrières die de inclusie van </w:t>
      </w:r>
      <w:r w:rsidR="00530282" w:rsidRPr="006055E1">
        <w:rPr>
          <w:rStyle w:val="normaltextrun"/>
          <w:rFonts w:asciiTheme="minorHAnsi" w:hAnsiTheme="minorHAnsi" w:cstheme="minorHAnsi"/>
          <w:sz w:val="28"/>
          <w:szCs w:val="28"/>
          <w:lang w:val="nl"/>
        </w:rPr>
        <w:t>personen met een handicap</w:t>
      </w:r>
      <w:r w:rsidRPr="006055E1">
        <w:rPr>
          <w:rStyle w:val="normaltextrun"/>
          <w:rFonts w:asciiTheme="minorHAnsi" w:hAnsiTheme="minorHAnsi" w:cstheme="minorHAnsi"/>
          <w:sz w:val="28"/>
          <w:szCs w:val="28"/>
          <w:lang w:val="nl"/>
        </w:rPr>
        <w:t xml:space="preserve"> in de gemeenschap beperken. </w:t>
      </w:r>
    </w:p>
    <w:p w14:paraId="0D69373D" w14:textId="3D1F05D0" w:rsidR="00EF4C6C" w:rsidRPr="009D1CB6" w:rsidRDefault="00EF4C6C" w:rsidP="00EF4C6C">
      <w:pPr>
        <w:spacing w:line="276" w:lineRule="auto"/>
        <w:jc w:val="both"/>
        <w:rPr>
          <w:rFonts w:ascii="Arial" w:hAnsi="Arial" w:cs="Arial"/>
          <w:sz w:val="28"/>
          <w:szCs w:val="28"/>
          <w:lang w:val="nl-BE"/>
        </w:rPr>
      </w:pPr>
      <w:r w:rsidRPr="001D7810">
        <w:rPr>
          <w:rStyle w:val="normaltextrun"/>
          <w:sz w:val="28"/>
          <w:szCs w:val="28"/>
          <w:lang w:val="nl"/>
        </w:rPr>
        <w:t xml:space="preserve">Een van onze belangrijkste doelstellingen is de </w:t>
      </w:r>
      <w:r w:rsidR="00530282">
        <w:rPr>
          <w:rStyle w:val="normaltextrun"/>
          <w:sz w:val="28"/>
          <w:szCs w:val="28"/>
          <w:lang w:val="nl"/>
        </w:rPr>
        <w:t>uitvoering</w:t>
      </w:r>
      <w:r w:rsidRPr="001D7810">
        <w:rPr>
          <w:rStyle w:val="normaltextrun"/>
          <w:sz w:val="28"/>
          <w:szCs w:val="28"/>
          <w:lang w:val="nl"/>
        </w:rPr>
        <w:t xml:space="preserve"> van het VN-Verdrag inzake de </w:t>
      </w:r>
      <w:r w:rsidR="00530282">
        <w:rPr>
          <w:rStyle w:val="normaltextrun"/>
          <w:sz w:val="28"/>
          <w:szCs w:val="28"/>
          <w:lang w:val="nl"/>
        </w:rPr>
        <w:t>R</w:t>
      </w:r>
      <w:r w:rsidRPr="001D7810">
        <w:rPr>
          <w:rStyle w:val="normaltextrun"/>
          <w:sz w:val="28"/>
          <w:szCs w:val="28"/>
          <w:lang w:val="nl"/>
        </w:rPr>
        <w:t xml:space="preserve">echten van </w:t>
      </w:r>
      <w:r w:rsidR="00530282">
        <w:rPr>
          <w:rStyle w:val="normaltextrun"/>
          <w:sz w:val="28"/>
          <w:szCs w:val="28"/>
          <w:lang w:val="nl"/>
        </w:rPr>
        <w:t>P</w:t>
      </w:r>
      <w:r w:rsidRPr="001D7810">
        <w:rPr>
          <w:rStyle w:val="normaltextrun"/>
          <w:sz w:val="28"/>
          <w:szCs w:val="28"/>
          <w:lang w:val="nl"/>
        </w:rPr>
        <w:t xml:space="preserve">ersonen met een </w:t>
      </w:r>
      <w:r w:rsidR="00530282">
        <w:rPr>
          <w:rStyle w:val="normaltextrun"/>
          <w:sz w:val="28"/>
          <w:szCs w:val="28"/>
          <w:lang w:val="nl"/>
        </w:rPr>
        <w:t>H</w:t>
      </w:r>
      <w:r w:rsidRPr="001D7810">
        <w:rPr>
          <w:rStyle w:val="normaltextrun"/>
          <w:sz w:val="28"/>
          <w:szCs w:val="28"/>
          <w:lang w:val="nl"/>
        </w:rPr>
        <w:t>andicap (</w:t>
      </w:r>
      <w:r w:rsidR="00CC25A3">
        <w:rPr>
          <w:rStyle w:val="normaltextrun"/>
          <w:sz w:val="28"/>
          <w:szCs w:val="28"/>
          <w:lang w:val="nl"/>
        </w:rPr>
        <w:t>VRPH</w:t>
      </w:r>
      <w:r w:rsidRPr="001D7810">
        <w:rPr>
          <w:rStyle w:val="normaltextrun"/>
          <w:sz w:val="28"/>
          <w:szCs w:val="28"/>
          <w:lang w:val="nl"/>
        </w:rPr>
        <w:t xml:space="preserve">) in de Europese Unie. </w:t>
      </w:r>
      <w:r>
        <w:rPr>
          <w:lang w:val="nl"/>
        </w:rPr>
        <w:t xml:space="preserve"> </w:t>
      </w:r>
      <w:r w:rsidRPr="001D7810">
        <w:rPr>
          <w:rStyle w:val="normaltextrun"/>
          <w:sz w:val="28"/>
          <w:szCs w:val="28"/>
          <w:lang w:val="nl"/>
        </w:rPr>
        <w:t xml:space="preserve">Het </w:t>
      </w:r>
      <w:r w:rsidR="00CC25A3">
        <w:rPr>
          <w:rStyle w:val="normaltextrun"/>
          <w:sz w:val="28"/>
          <w:szCs w:val="28"/>
          <w:lang w:val="nl"/>
        </w:rPr>
        <w:t>VRPH</w:t>
      </w:r>
      <w:r w:rsidRPr="001D7810">
        <w:rPr>
          <w:rStyle w:val="normaltextrun"/>
          <w:sz w:val="28"/>
          <w:szCs w:val="28"/>
          <w:lang w:val="nl"/>
        </w:rPr>
        <w:t xml:space="preserve"> bevordert volledige participatie, zelfstandig wonen en deïnstitutionalisering. </w:t>
      </w:r>
      <w:r>
        <w:rPr>
          <w:lang w:val="nl"/>
        </w:rPr>
        <w:t xml:space="preserve"> </w:t>
      </w:r>
      <w:r w:rsidRPr="001D7810">
        <w:rPr>
          <w:sz w:val="28"/>
          <w:szCs w:val="28"/>
          <w:lang w:val="nl"/>
        </w:rPr>
        <w:t xml:space="preserve">De Europese Unie en alle 27 lidstaten hebben het </w:t>
      </w:r>
      <w:r w:rsidR="00CC25A3">
        <w:rPr>
          <w:sz w:val="28"/>
          <w:szCs w:val="28"/>
          <w:lang w:val="nl"/>
        </w:rPr>
        <w:t>VRPH</w:t>
      </w:r>
      <w:r w:rsidRPr="001D7810">
        <w:rPr>
          <w:sz w:val="28"/>
          <w:szCs w:val="28"/>
          <w:lang w:val="nl"/>
        </w:rPr>
        <w:t xml:space="preserve"> geratificeerd. In de EU is het verdrag in januari 2011 in werking getreden. </w:t>
      </w:r>
    </w:p>
    <w:p w14:paraId="70FE68D0" w14:textId="6A2EBE46" w:rsidR="00EF4C6C" w:rsidRPr="006055E1" w:rsidRDefault="00A32D6B" w:rsidP="00EF4C6C">
      <w:pPr>
        <w:pStyle w:val="paragraph"/>
        <w:jc w:val="both"/>
        <w:textAlignment w:val="baseline"/>
        <w:rPr>
          <w:rFonts w:asciiTheme="minorHAnsi" w:hAnsiTheme="minorHAnsi" w:cstheme="minorHAnsi"/>
          <w:sz w:val="28"/>
          <w:szCs w:val="28"/>
          <w:lang w:val="nl-BE"/>
        </w:rPr>
      </w:pPr>
      <w:r w:rsidRPr="006055E1">
        <w:rPr>
          <w:rFonts w:asciiTheme="minorHAnsi" w:hAnsiTheme="minorHAnsi" w:cstheme="minorHAnsi"/>
          <w:sz w:val="28"/>
          <w:szCs w:val="28"/>
          <w:lang w:val="nl"/>
        </w:rPr>
        <w:t>Voor deze</w:t>
      </w:r>
      <w:r w:rsidR="00EF4C6C" w:rsidRPr="006055E1">
        <w:rPr>
          <w:rFonts w:asciiTheme="minorHAnsi" w:hAnsiTheme="minorHAnsi" w:cstheme="minorHAnsi"/>
          <w:b/>
          <w:bCs/>
          <w:sz w:val="28"/>
          <w:szCs w:val="28"/>
          <w:lang w:val="nl"/>
        </w:rPr>
        <w:t xml:space="preserve"> Freedom Drive 2022</w:t>
      </w:r>
      <w:r w:rsidR="00EF4C6C" w:rsidRPr="006055E1">
        <w:rPr>
          <w:rFonts w:asciiTheme="minorHAnsi" w:hAnsiTheme="minorHAnsi" w:cstheme="minorHAnsi"/>
          <w:sz w:val="28"/>
          <w:szCs w:val="28"/>
          <w:lang w:val="nl"/>
        </w:rPr>
        <w:t xml:space="preserve"> heeft ENIL voor de Europese Unie, haar lidstaten en andere Europese landen </w:t>
      </w:r>
      <w:r w:rsidR="00C64298" w:rsidRPr="006055E1">
        <w:rPr>
          <w:rFonts w:asciiTheme="minorHAnsi" w:hAnsiTheme="minorHAnsi" w:cstheme="minorHAnsi"/>
          <w:sz w:val="28"/>
          <w:szCs w:val="28"/>
          <w:lang w:val="nl"/>
        </w:rPr>
        <w:t xml:space="preserve">de volgende eisen </w:t>
      </w:r>
      <w:r w:rsidR="00EF4C6C" w:rsidRPr="006055E1">
        <w:rPr>
          <w:rFonts w:asciiTheme="minorHAnsi" w:hAnsiTheme="minorHAnsi" w:cstheme="minorHAnsi"/>
          <w:sz w:val="28"/>
          <w:szCs w:val="28"/>
          <w:lang w:val="nl"/>
        </w:rPr>
        <w:t xml:space="preserve">samengesteld: </w:t>
      </w:r>
    </w:p>
    <w:p w14:paraId="6B07DABD" w14:textId="0E2CBDF4" w:rsidR="00EF4C6C" w:rsidRPr="009D1CB6" w:rsidRDefault="00EB318C" w:rsidP="00EF4C6C">
      <w:pPr>
        <w:pStyle w:val="Lijstalinea"/>
        <w:numPr>
          <w:ilvl w:val="0"/>
          <w:numId w:val="18"/>
        </w:numPr>
        <w:spacing w:line="276" w:lineRule="auto"/>
        <w:jc w:val="both"/>
        <w:rPr>
          <w:rFonts w:ascii="Arial" w:hAnsi="Arial" w:cs="Arial"/>
          <w:b/>
          <w:bCs/>
          <w:color w:val="4472C4" w:themeColor="accent1"/>
          <w:sz w:val="28"/>
          <w:szCs w:val="28"/>
          <w:lang w:val="nl-BE"/>
        </w:rPr>
      </w:pPr>
      <w:r>
        <w:rPr>
          <w:b/>
          <w:bCs/>
          <w:color w:val="4472C4" w:themeColor="accent1"/>
          <w:sz w:val="28"/>
          <w:szCs w:val="28"/>
          <w:lang w:val="nl"/>
        </w:rPr>
        <w:t>Verbeter de</w:t>
      </w:r>
      <w:r w:rsidR="00C8178D" w:rsidRPr="001D7810">
        <w:rPr>
          <w:b/>
          <w:bCs/>
          <w:color w:val="4472C4" w:themeColor="accent1"/>
          <w:sz w:val="28"/>
          <w:szCs w:val="28"/>
          <w:lang w:val="nl"/>
        </w:rPr>
        <w:t xml:space="preserve"> toegang tot persoonlijke assistentie </w:t>
      </w:r>
    </w:p>
    <w:p w14:paraId="275F6326" w14:textId="77777777" w:rsidR="00EF4C6C" w:rsidRPr="009D1CB6" w:rsidRDefault="00EF4C6C" w:rsidP="00EF4C6C">
      <w:pPr>
        <w:spacing w:line="276" w:lineRule="auto"/>
        <w:contextualSpacing/>
        <w:jc w:val="both"/>
        <w:rPr>
          <w:rFonts w:ascii="Arial" w:hAnsi="Arial" w:cs="Arial"/>
          <w:sz w:val="28"/>
          <w:szCs w:val="28"/>
          <w:lang w:val="nl-BE"/>
        </w:rPr>
      </w:pPr>
    </w:p>
    <w:p w14:paraId="116B5E3B" w14:textId="65800252" w:rsidR="00EF4C6C" w:rsidRPr="009D1CB6" w:rsidRDefault="00EF4C6C" w:rsidP="00EF4C6C">
      <w:pPr>
        <w:spacing w:line="276" w:lineRule="auto"/>
        <w:contextualSpacing/>
        <w:jc w:val="both"/>
        <w:rPr>
          <w:rStyle w:val="normaltextrun"/>
          <w:rFonts w:ascii="Arial" w:hAnsi="Arial" w:cs="Arial"/>
          <w:sz w:val="28"/>
          <w:szCs w:val="28"/>
          <w:lang w:val="nl-BE"/>
        </w:rPr>
      </w:pPr>
      <w:r w:rsidRPr="001D7810">
        <w:rPr>
          <w:rStyle w:val="normaltextrun"/>
          <w:sz w:val="28"/>
          <w:szCs w:val="28"/>
          <w:lang w:val="nl"/>
        </w:rPr>
        <w:t xml:space="preserve">Artikel 19 van </w:t>
      </w:r>
      <w:hyperlink r:id="rId11" w:tgtFrame="_blank" w:history="1">
        <w:r w:rsidRPr="001D7810">
          <w:rPr>
            <w:rStyle w:val="normaltextrun"/>
            <w:color w:val="0563C1"/>
            <w:sz w:val="28"/>
            <w:szCs w:val="28"/>
            <w:u w:val="single"/>
            <w:lang w:val="nl"/>
          </w:rPr>
          <w:t>het Verdrag van de Verenigde Naties inzake de rechten van personen met een handicap (UNCRPD)</w:t>
        </w:r>
      </w:hyperlink>
      <w:r w:rsidR="00A32D6B" w:rsidRPr="001D7810">
        <w:rPr>
          <w:rStyle w:val="normaltextrun"/>
          <w:sz w:val="28"/>
          <w:szCs w:val="28"/>
          <w:lang w:val="nl"/>
        </w:rPr>
        <w:t xml:space="preserve"> stelt dat alle </w:t>
      </w:r>
      <w:r w:rsidR="00C64298">
        <w:rPr>
          <w:rStyle w:val="normaltextrun"/>
          <w:sz w:val="28"/>
          <w:szCs w:val="28"/>
          <w:lang w:val="nl"/>
        </w:rPr>
        <w:t>personen met een handicap</w:t>
      </w:r>
      <w:r w:rsidR="00A32D6B" w:rsidRPr="001D7810">
        <w:rPr>
          <w:rStyle w:val="normaltextrun"/>
          <w:sz w:val="28"/>
          <w:szCs w:val="28"/>
          <w:lang w:val="nl"/>
        </w:rPr>
        <w:t xml:space="preserve"> "het gelijke recht [...] </w:t>
      </w:r>
      <w:r w:rsidR="00C64298">
        <w:rPr>
          <w:rStyle w:val="normaltextrun"/>
          <w:sz w:val="28"/>
          <w:szCs w:val="28"/>
          <w:lang w:val="nl"/>
        </w:rPr>
        <w:t xml:space="preserve">hebben </w:t>
      </w:r>
      <w:r w:rsidR="00A32D6B" w:rsidRPr="001D7810">
        <w:rPr>
          <w:rStyle w:val="normaltextrun"/>
          <w:sz w:val="28"/>
          <w:szCs w:val="28"/>
          <w:lang w:val="nl"/>
        </w:rPr>
        <w:t xml:space="preserve">om in de gemeenschap te leven, met keuzes die gelijk zijn aan anderen". Dit betekent niet dat mensen met een handicap alleen </w:t>
      </w:r>
      <w:r w:rsidR="00A32D6B" w:rsidRPr="001D7810">
        <w:rPr>
          <w:rStyle w:val="normaltextrun"/>
          <w:sz w:val="28"/>
          <w:szCs w:val="28"/>
          <w:lang w:val="nl"/>
        </w:rPr>
        <w:lastRenderedPageBreak/>
        <w:t>en zonder ondersteuning moeten wonen. Volgens artikel 19, onder b), "[moeten] personen met een handicap toegang hebben tot een reeks thuis-, residentiële en andere gemeenschapsondersteunende diensten, waaronder persoonlijke assistentie".</w:t>
      </w:r>
    </w:p>
    <w:p w14:paraId="5F0AC477" w14:textId="77777777" w:rsidR="00EF4C6C" w:rsidRPr="009D1CB6" w:rsidRDefault="00EF4C6C" w:rsidP="00EF4C6C">
      <w:pPr>
        <w:spacing w:line="276" w:lineRule="auto"/>
        <w:contextualSpacing/>
        <w:jc w:val="both"/>
        <w:rPr>
          <w:rStyle w:val="normaltextrun"/>
          <w:rFonts w:ascii="Arial" w:hAnsi="Arial" w:cs="Arial"/>
          <w:sz w:val="28"/>
          <w:szCs w:val="28"/>
          <w:lang w:val="nl-BE"/>
        </w:rPr>
      </w:pPr>
    </w:p>
    <w:p w14:paraId="3B1FEA90" w14:textId="4002F692" w:rsidR="00EF4C6C" w:rsidRPr="009D1CB6" w:rsidRDefault="00F974FC" w:rsidP="00EF4C6C">
      <w:pPr>
        <w:spacing w:line="276" w:lineRule="auto"/>
        <w:contextualSpacing/>
        <w:jc w:val="both"/>
        <w:rPr>
          <w:rStyle w:val="normaltextrun"/>
          <w:rFonts w:ascii="Arial" w:hAnsi="Arial" w:cs="Arial"/>
          <w:sz w:val="28"/>
          <w:szCs w:val="28"/>
          <w:lang w:val="nl-BE"/>
        </w:rPr>
      </w:pPr>
      <w:r w:rsidRPr="001D7810">
        <w:rPr>
          <w:sz w:val="28"/>
          <w:szCs w:val="28"/>
          <w:lang w:val="nl"/>
        </w:rPr>
        <w:t xml:space="preserve">Om instellingen te sluiten, moeten overheden de toegang van </w:t>
      </w:r>
      <w:r w:rsidR="00477E6A">
        <w:rPr>
          <w:sz w:val="28"/>
          <w:szCs w:val="28"/>
          <w:lang w:val="nl"/>
        </w:rPr>
        <w:t>personen met een handicap</w:t>
      </w:r>
      <w:r w:rsidRPr="001D7810">
        <w:rPr>
          <w:sz w:val="28"/>
          <w:szCs w:val="28"/>
          <w:lang w:val="nl"/>
        </w:rPr>
        <w:t xml:space="preserve"> tot gemeenschapsgerichte diensten vergroten, met name persoonlijke assistentie (PA). Alle diensten moeten worden uitgevoerd volgens het mensenrechtenmodel van handicap. </w:t>
      </w:r>
      <w:r w:rsidR="00EF4C6C" w:rsidRPr="001D7810">
        <w:rPr>
          <w:rStyle w:val="normaltextrun"/>
          <w:sz w:val="28"/>
          <w:szCs w:val="28"/>
          <w:lang w:val="nl"/>
        </w:rPr>
        <w:t xml:space="preserve">General Comment No 5 definieert PA als "persoonsgerichte, door de gebruiker geleide menselijke ondersteuning". </w:t>
      </w:r>
      <w:r>
        <w:rPr>
          <w:lang w:val="nl"/>
        </w:rPr>
        <w:t xml:space="preserve"> </w:t>
      </w:r>
      <w:hyperlink r:id="rId12" w:tgtFrame="_blank" w:history="1">
        <w:r w:rsidR="00EF4C6C" w:rsidRPr="001D7810">
          <w:rPr>
            <w:rStyle w:val="normaltextrun"/>
            <w:color w:val="0563C1"/>
            <w:sz w:val="28"/>
            <w:szCs w:val="28"/>
            <w:u w:val="single"/>
            <w:lang w:val="nl"/>
          </w:rPr>
          <w:t>Persoonlijke assistenten (PAt)</w:t>
        </w:r>
      </w:hyperlink>
      <w:r w:rsidRPr="001D7810">
        <w:rPr>
          <w:rStyle w:val="normaltextrun"/>
          <w:sz w:val="28"/>
          <w:szCs w:val="28"/>
          <w:lang w:val="nl"/>
        </w:rPr>
        <w:t xml:space="preserve"> bieden een-op-een ondersteuning aan mensen met een handicap, waardoor ze toegang hebben tot dezelfde kansen als </w:t>
      </w:r>
      <w:r w:rsidR="000A3493">
        <w:rPr>
          <w:rStyle w:val="normaltextrun"/>
          <w:sz w:val="28"/>
          <w:szCs w:val="28"/>
          <w:lang w:val="nl"/>
        </w:rPr>
        <w:t>mensen zonder handicap</w:t>
      </w:r>
      <w:r w:rsidRPr="001D7810">
        <w:rPr>
          <w:rStyle w:val="normaltextrun"/>
          <w:sz w:val="28"/>
          <w:szCs w:val="28"/>
          <w:lang w:val="nl"/>
        </w:rPr>
        <w:t xml:space="preserve">. In sommige Europese landen is persoonlijke assistentie sinds de jaren 1980 beschikbaar voor mensen met een handicap. De eerste wet op persoonlijke assistentie werd in 1994 in Zweden ingevoerd. Vandaag </w:t>
      </w:r>
      <w:r w:rsidR="00EF4C6C" w:rsidRPr="001D7810">
        <w:rPr>
          <w:rStyle w:val="Voetnootmarkering"/>
          <w:sz w:val="28"/>
          <w:szCs w:val="28"/>
          <w:lang w:val="nl"/>
        </w:rPr>
        <w:footnoteReference w:id="2"/>
      </w:r>
      <w:hyperlink r:id="rId13" w:history="1">
        <w:r w:rsidR="00EF4C6C" w:rsidRPr="001D7810">
          <w:rPr>
            <w:rStyle w:val="Hyperlink"/>
            <w:sz w:val="28"/>
            <w:szCs w:val="28"/>
            <w:lang w:val="nl"/>
          </w:rPr>
          <w:t>hebben 25 lidstaten van de Europese Unie regelingen voor persoonlijke assistentie</w:t>
        </w:r>
      </w:hyperlink>
      <w:r w:rsidR="00EF4C6C" w:rsidRPr="001D7810">
        <w:rPr>
          <w:rStyle w:val="normaltextrun"/>
          <w:sz w:val="28"/>
          <w:szCs w:val="28"/>
          <w:lang w:val="nl"/>
        </w:rPr>
        <w:t xml:space="preserve">. Volgens degenen die persoonlijke assistentie gebruiken, zijn deze regelingen slecht ontworpen en niet volledig geïmplementeerd. Met een betere toegang tot persoonlijke assistentie zouden meer mensen met een handicap instellingen kunnen verlaten en zouden ze niet het slachtoffer worden van mensenrechtenschendingen die op deze plaatsen plaatsvinden. Sommige landen kunnen niet inspelen op de toenemende vraag naar persoonlijke assistentie onder </w:t>
      </w:r>
      <w:r w:rsidR="00F76A70">
        <w:rPr>
          <w:rStyle w:val="normaltextrun"/>
          <w:sz w:val="28"/>
          <w:szCs w:val="28"/>
          <w:lang w:val="nl"/>
        </w:rPr>
        <w:t xml:space="preserve">personen met een handicap </w:t>
      </w:r>
      <w:r w:rsidR="00EF4C6C" w:rsidRPr="001D7810">
        <w:rPr>
          <w:rStyle w:val="normaltextrun"/>
          <w:sz w:val="28"/>
          <w:szCs w:val="28"/>
          <w:lang w:val="nl"/>
        </w:rPr>
        <w:t>. Zo is het aantal PA-gebruikers in Slovenië tussen 2020 en 2021 met 44% gestegen. In België is er een wachtlijst van maximaal 23 jaar om het persoonlijke budget te ontvangen dat nodig is om persoonlijke assistenten aan te nemen.</w:t>
      </w:r>
      <w:r w:rsidR="00EF4C6C" w:rsidRPr="001D7810">
        <w:rPr>
          <w:rStyle w:val="Voetnootmarkering"/>
          <w:sz w:val="28"/>
          <w:szCs w:val="28"/>
          <w:lang w:val="nl"/>
        </w:rPr>
        <w:footnoteReference w:id="3"/>
      </w:r>
    </w:p>
    <w:p w14:paraId="52766E47" w14:textId="77777777" w:rsidR="00EF4C6C" w:rsidRPr="009D1CB6" w:rsidRDefault="00EF4C6C" w:rsidP="00EF4C6C">
      <w:pPr>
        <w:spacing w:line="276" w:lineRule="auto"/>
        <w:contextualSpacing/>
        <w:jc w:val="both"/>
        <w:rPr>
          <w:rStyle w:val="normaltextrun"/>
          <w:rFonts w:ascii="Arial" w:hAnsi="Arial" w:cs="Arial"/>
          <w:sz w:val="28"/>
          <w:szCs w:val="28"/>
          <w:lang w:val="nl-BE"/>
        </w:rPr>
      </w:pPr>
    </w:p>
    <w:p w14:paraId="24717D13" w14:textId="0B23F705" w:rsidR="00EF4C6C" w:rsidRPr="009D1CB6" w:rsidRDefault="00EF4C6C" w:rsidP="00EF4C6C">
      <w:pPr>
        <w:spacing w:line="276" w:lineRule="auto"/>
        <w:contextualSpacing/>
        <w:jc w:val="both"/>
        <w:rPr>
          <w:rFonts w:ascii="Arial" w:hAnsi="Arial" w:cs="Arial"/>
          <w:sz w:val="28"/>
          <w:szCs w:val="28"/>
          <w:lang w:val="nl-BE"/>
        </w:rPr>
      </w:pPr>
      <w:r w:rsidRPr="001D7810">
        <w:rPr>
          <w:rStyle w:val="normaltextrun"/>
          <w:sz w:val="28"/>
          <w:szCs w:val="28"/>
          <w:lang w:val="nl"/>
        </w:rPr>
        <w:t xml:space="preserve">Om in overeenstemming te zijn met het </w:t>
      </w:r>
      <w:r w:rsidR="00F76A70">
        <w:rPr>
          <w:rStyle w:val="normaltextrun"/>
          <w:sz w:val="28"/>
          <w:szCs w:val="28"/>
          <w:lang w:val="nl"/>
        </w:rPr>
        <w:t>VRPH</w:t>
      </w:r>
      <w:r w:rsidRPr="001D7810">
        <w:rPr>
          <w:rStyle w:val="normaltextrun"/>
          <w:sz w:val="28"/>
          <w:szCs w:val="28"/>
          <w:lang w:val="nl"/>
        </w:rPr>
        <w:t xml:space="preserve">, moeten regelingen voor persoonlijke assistentie mensen met een handicap in staat stellen hun assistent te kiezen, te beslissen wat ze doen, wanneer, waar en hoe. Ook moeten mensen met een handicap financiering op hun rekeningen ontvangen in de vorm van een persoonlijk budget. </w:t>
      </w:r>
      <w:hyperlink r:id="rId14" w:history="1">
        <w:r w:rsidRPr="001D7810">
          <w:rPr>
            <w:rStyle w:val="Hyperlink"/>
            <w:sz w:val="28"/>
            <w:szCs w:val="28"/>
            <w:lang w:val="nl"/>
          </w:rPr>
          <w:t>De belangrijkste elementen</w:t>
        </w:r>
      </w:hyperlink>
      <w:r w:rsidRPr="001D7810">
        <w:rPr>
          <w:rStyle w:val="normaltextrun"/>
          <w:sz w:val="28"/>
          <w:szCs w:val="28"/>
          <w:lang w:val="nl"/>
        </w:rPr>
        <w:t xml:space="preserve"> van goede PA </w:t>
      </w:r>
      <w:hyperlink r:id="rId15" w:history="1">
        <w:r w:rsidRPr="001D7810">
          <w:rPr>
            <w:rStyle w:val="Hyperlink"/>
            <w:sz w:val="28"/>
            <w:szCs w:val="28"/>
            <w:lang w:val="nl"/>
          </w:rPr>
          <w:t>zijn goed</w:t>
        </w:r>
      </w:hyperlink>
      <w:r w:rsidR="002D1DCF" w:rsidRPr="001D7810">
        <w:rPr>
          <w:rStyle w:val="Hyperlink"/>
          <w:sz w:val="28"/>
          <w:szCs w:val="28"/>
          <w:lang w:val="nl"/>
        </w:rPr>
        <w:t xml:space="preserve"> onderzocht</w:t>
      </w:r>
      <w:r w:rsidRPr="001D7810">
        <w:rPr>
          <w:rStyle w:val="normaltextrun"/>
          <w:sz w:val="28"/>
          <w:szCs w:val="28"/>
          <w:lang w:val="nl"/>
        </w:rPr>
        <w:t xml:space="preserve">. Persoonlijke assistentie is het belangrijkste instrument voor zelfstandig wonen voor veel mensen met een handicap, inclusief mensen met een </w:t>
      </w:r>
      <w:r w:rsidRPr="001D7810">
        <w:rPr>
          <w:rStyle w:val="normaltextrun"/>
          <w:sz w:val="28"/>
          <w:szCs w:val="28"/>
          <w:lang w:val="nl"/>
        </w:rPr>
        <w:lastRenderedPageBreak/>
        <w:t xml:space="preserve">verstandelijke beperking. </w:t>
      </w:r>
      <w:r w:rsidR="00727D99">
        <w:rPr>
          <w:rStyle w:val="normaltextrun"/>
          <w:sz w:val="28"/>
          <w:szCs w:val="28"/>
          <w:lang w:val="nl"/>
        </w:rPr>
        <w:t>Personen met een handicap</w:t>
      </w:r>
      <w:r w:rsidRPr="001D7810">
        <w:rPr>
          <w:rStyle w:val="normaltextrun"/>
          <w:sz w:val="28"/>
          <w:szCs w:val="28"/>
          <w:lang w:val="nl"/>
        </w:rPr>
        <w:t xml:space="preserve"> die persoonlijke assistentie nodig hebben, moeten worden voorzien van </w:t>
      </w:r>
      <w:r w:rsidR="00D41499">
        <w:rPr>
          <w:rStyle w:val="normaltextrun"/>
          <w:sz w:val="28"/>
          <w:szCs w:val="28"/>
          <w:lang w:val="nl"/>
        </w:rPr>
        <w:t>o</w:t>
      </w:r>
      <w:r w:rsidR="00D41499" w:rsidRPr="00D41499">
        <w:rPr>
          <w:rStyle w:val="normaltextrun"/>
          <w:sz w:val="28"/>
          <w:szCs w:val="28"/>
          <w:lang w:val="nl"/>
        </w:rPr>
        <w:t>ndersteuning bij het proces om zelf beslissingen te nemen</w:t>
      </w:r>
      <w:r w:rsidR="00D41499">
        <w:rPr>
          <w:rStyle w:val="normaltextrun"/>
          <w:sz w:val="28"/>
          <w:szCs w:val="28"/>
          <w:lang w:val="nl"/>
        </w:rPr>
        <w:t xml:space="preserve">, </w:t>
      </w:r>
      <w:r w:rsidRPr="001D7810">
        <w:rPr>
          <w:rStyle w:val="normaltextrun"/>
          <w:sz w:val="28"/>
          <w:szCs w:val="28"/>
          <w:lang w:val="nl"/>
        </w:rPr>
        <w:t xml:space="preserve">als ze die nodig hebben. De financiering voor persoonlijke assistentie moet flexibel zijn, zodat mensen hun assistenten kunnen behouden wanneer ze naar een andere regio of een ander land verhuizen. Ze moeten ook kunnen </w:t>
      </w:r>
      <w:r w:rsidR="00A63C2F">
        <w:rPr>
          <w:rStyle w:val="normaltextrun"/>
          <w:sz w:val="28"/>
          <w:szCs w:val="28"/>
          <w:lang w:val="nl"/>
        </w:rPr>
        <w:t xml:space="preserve"> beroep aantekenen tegen</w:t>
      </w:r>
      <w:r w:rsidRPr="001D7810">
        <w:rPr>
          <w:rStyle w:val="normaltextrun"/>
          <w:sz w:val="28"/>
          <w:szCs w:val="28"/>
          <w:lang w:val="nl"/>
        </w:rPr>
        <w:t xml:space="preserve"> het resultaat van hun aanvraag of beoordeling, zodat beslissingen over PA-uren indien nodig juridisch kunnen worden aangevochten.</w:t>
      </w:r>
      <w:r w:rsidRPr="001D7810">
        <w:rPr>
          <w:rStyle w:val="Voetnootmarkering"/>
          <w:sz w:val="28"/>
          <w:szCs w:val="28"/>
          <w:lang w:val="nl"/>
        </w:rPr>
        <w:footnoteReference w:id="4"/>
      </w:r>
    </w:p>
    <w:p w14:paraId="37BDCF59" w14:textId="77777777" w:rsidR="00013D43" w:rsidRPr="009D1CB6" w:rsidRDefault="00013D43" w:rsidP="00EF4C6C">
      <w:pPr>
        <w:spacing w:line="276" w:lineRule="auto"/>
        <w:contextualSpacing/>
        <w:jc w:val="both"/>
        <w:rPr>
          <w:rFonts w:ascii="Arial" w:hAnsi="Arial" w:cs="Arial"/>
          <w:sz w:val="28"/>
          <w:szCs w:val="28"/>
          <w:lang w:val="nl-BE"/>
        </w:rPr>
      </w:pPr>
    </w:p>
    <w:p w14:paraId="6BCD0F4A" w14:textId="7C908982" w:rsidR="00EF4C6C" w:rsidRPr="009D1CB6" w:rsidRDefault="00EF4C6C" w:rsidP="00EF4C6C">
      <w:pPr>
        <w:spacing w:line="276" w:lineRule="auto"/>
        <w:contextualSpacing/>
        <w:jc w:val="both"/>
        <w:rPr>
          <w:rFonts w:ascii="Arial" w:hAnsi="Arial" w:cs="Arial"/>
          <w:sz w:val="28"/>
          <w:szCs w:val="28"/>
          <w:lang w:val="nl-BE"/>
        </w:rPr>
      </w:pPr>
      <w:r w:rsidRPr="001D7810">
        <w:rPr>
          <w:sz w:val="28"/>
          <w:szCs w:val="28"/>
          <w:lang w:val="nl"/>
        </w:rPr>
        <w:t xml:space="preserve">Om de toegang tot persoonlijke assistentie te verbeteren, raden we het volgende aan: </w:t>
      </w:r>
    </w:p>
    <w:p w14:paraId="34D08750" w14:textId="77777777" w:rsidR="00EF4C6C" w:rsidRPr="009D1CB6" w:rsidRDefault="00EF4C6C" w:rsidP="00EF4C6C">
      <w:pPr>
        <w:spacing w:line="276" w:lineRule="auto"/>
        <w:contextualSpacing/>
        <w:jc w:val="both"/>
        <w:rPr>
          <w:rFonts w:ascii="Arial" w:hAnsi="Arial" w:cs="Arial"/>
          <w:sz w:val="28"/>
          <w:szCs w:val="28"/>
          <w:lang w:val="nl-BE"/>
        </w:rPr>
      </w:pPr>
    </w:p>
    <w:p w14:paraId="3EE3E499" w14:textId="090680DA" w:rsidR="00EF4C6C" w:rsidRPr="001D7810" w:rsidRDefault="00EF4C6C" w:rsidP="00EF4C6C">
      <w:pPr>
        <w:pStyle w:val="Lijstalinea"/>
        <w:numPr>
          <w:ilvl w:val="0"/>
          <w:numId w:val="21"/>
        </w:numPr>
        <w:spacing w:line="276" w:lineRule="auto"/>
        <w:jc w:val="both"/>
        <w:rPr>
          <w:rFonts w:ascii="Arial" w:hAnsi="Arial" w:cs="Arial"/>
          <w:sz w:val="28"/>
          <w:szCs w:val="28"/>
        </w:rPr>
      </w:pPr>
      <w:r w:rsidRPr="001D7810">
        <w:rPr>
          <w:sz w:val="28"/>
          <w:szCs w:val="28"/>
          <w:lang w:val="nl"/>
        </w:rPr>
        <w:t xml:space="preserve">De Raad van de EU en het Europees Parlement moeten een aanbeveling over persoonlijke assistentie aannemen. Deze aanbeveling moet: </w:t>
      </w:r>
    </w:p>
    <w:p w14:paraId="47C5A7EF" w14:textId="7DC82A9E" w:rsidR="00EF4C6C" w:rsidRPr="009D1CB6" w:rsidRDefault="00694779" w:rsidP="00EF4C6C">
      <w:pPr>
        <w:pStyle w:val="Lijstalinea"/>
        <w:numPr>
          <w:ilvl w:val="1"/>
          <w:numId w:val="21"/>
        </w:numPr>
        <w:spacing w:line="276" w:lineRule="auto"/>
        <w:jc w:val="both"/>
        <w:rPr>
          <w:rFonts w:ascii="Arial" w:hAnsi="Arial" w:cs="Arial"/>
          <w:sz w:val="28"/>
          <w:szCs w:val="28"/>
          <w:lang w:val="nl-BE"/>
        </w:rPr>
      </w:pPr>
      <w:r w:rsidRPr="001D7810">
        <w:rPr>
          <w:sz w:val="28"/>
          <w:szCs w:val="28"/>
          <w:lang w:val="nl"/>
        </w:rPr>
        <w:t>Ervoor zorgen dat de EU voldoende financiering verstrekt voor regelingen voor persoonlijke assistentie die in overeenstemming zijn met het</w:t>
      </w:r>
      <w:r w:rsidR="00A63C2F">
        <w:rPr>
          <w:sz w:val="28"/>
          <w:szCs w:val="28"/>
          <w:lang w:val="nl"/>
        </w:rPr>
        <w:t xml:space="preserve"> VRPH</w:t>
      </w:r>
      <w:r w:rsidRPr="001D7810">
        <w:rPr>
          <w:sz w:val="28"/>
          <w:szCs w:val="28"/>
          <w:lang w:val="nl"/>
        </w:rPr>
        <w:t xml:space="preserve"> en de lidstaten aanbevelen hetzelfde te doen. </w:t>
      </w:r>
    </w:p>
    <w:p w14:paraId="04C85A50" w14:textId="6C00DE3B" w:rsidR="00EF4C6C" w:rsidRPr="009D1CB6" w:rsidRDefault="00694779" w:rsidP="00EF4C6C">
      <w:pPr>
        <w:pStyle w:val="Lijstalinea"/>
        <w:numPr>
          <w:ilvl w:val="1"/>
          <w:numId w:val="21"/>
        </w:numPr>
        <w:spacing w:line="276" w:lineRule="auto"/>
        <w:jc w:val="both"/>
        <w:rPr>
          <w:rFonts w:ascii="Arial" w:hAnsi="Arial" w:cs="Arial"/>
          <w:sz w:val="28"/>
          <w:szCs w:val="28"/>
          <w:lang w:val="nl-BE"/>
        </w:rPr>
      </w:pPr>
      <w:r w:rsidRPr="001D7810">
        <w:rPr>
          <w:sz w:val="28"/>
          <w:szCs w:val="28"/>
          <w:lang w:val="nl"/>
        </w:rPr>
        <w:t>Zet de juridische randvoorwaarden uiteen die nodig zijn voor goede persoonlijke begeleiding.</w:t>
      </w:r>
    </w:p>
    <w:p w14:paraId="153D646A" w14:textId="0317EB42" w:rsidR="00EF4C6C" w:rsidRPr="009D1CB6" w:rsidRDefault="00694779" w:rsidP="00EF4C6C">
      <w:pPr>
        <w:pStyle w:val="Lijstalinea"/>
        <w:numPr>
          <w:ilvl w:val="1"/>
          <w:numId w:val="21"/>
        </w:numPr>
        <w:spacing w:line="276" w:lineRule="auto"/>
        <w:jc w:val="both"/>
        <w:rPr>
          <w:rFonts w:ascii="Arial" w:hAnsi="Arial" w:cs="Arial"/>
          <w:sz w:val="28"/>
          <w:szCs w:val="28"/>
          <w:lang w:val="nl-BE"/>
        </w:rPr>
      </w:pPr>
      <w:r w:rsidRPr="001D7810">
        <w:rPr>
          <w:sz w:val="28"/>
          <w:szCs w:val="28"/>
          <w:lang w:val="nl"/>
        </w:rPr>
        <w:t xml:space="preserve">De toegang tot persoonlijke bijstand bevorderen voor mensen met een handicap die naar andere EU-landen verhuizen, om ervoor te zorgen dat alle </w:t>
      </w:r>
      <w:r w:rsidR="00A63C2F">
        <w:rPr>
          <w:sz w:val="28"/>
          <w:szCs w:val="28"/>
          <w:lang w:val="nl"/>
        </w:rPr>
        <w:t>personen met een handicap</w:t>
      </w:r>
      <w:r w:rsidRPr="001D7810">
        <w:rPr>
          <w:sz w:val="28"/>
          <w:szCs w:val="28"/>
          <w:lang w:val="nl"/>
        </w:rPr>
        <w:t xml:space="preserve"> in de hele EU kunnen wonen, werken en studeren als ze dat willen.</w:t>
      </w:r>
    </w:p>
    <w:p w14:paraId="6F41F692" w14:textId="5D96BCE6" w:rsidR="00EF4C6C" w:rsidRPr="009D1CB6" w:rsidRDefault="00EF4C6C" w:rsidP="00EF4C6C">
      <w:pPr>
        <w:pStyle w:val="Lijstalinea"/>
        <w:numPr>
          <w:ilvl w:val="0"/>
          <w:numId w:val="21"/>
        </w:numPr>
        <w:spacing w:line="276" w:lineRule="auto"/>
        <w:jc w:val="both"/>
        <w:rPr>
          <w:rFonts w:ascii="Arial" w:hAnsi="Arial" w:cs="Arial"/>
          <w:sz w:val="28"/>
          <w:szCs w:val="28"/>
          <w:lang w:val="nl-BE"/>
        </w:rPr>
      </w:pPr>
      <w:r w:rsidRPr="001D7810">
        <w:rPr>
          <w:sz w:val="28"/>
          <w:szCs w:val="28"/>
          <w:lang w:val="nl"/>
        </w:rPr>
        <w:t>Het Europees Parlement moet een "</w:t>
      </w:r>
      <w:r w:rsidRPr="002A4473">
        <w:rPr>
          <w:sz w:val="28"/>
          <w:szCs w:val="28"/>
          <w:lang w:val="nl"/>
        </w:rPr>
        <w:t>initiatiefverslag</w:t>
      </w:r>
      <w:r w:rsidRPr="001D7810">
        <w:rPr>
          <w:sz w:val="28"/>
          <w:szCs w:val="28"/>
          <w:lang w:val="nl"/>
        </w:rPr>
        <w:t xml:space="preserve">" aannemen, waarin wordt voorgesteld dat de Raad en het Parlement een aanbeveling over persoonlijke assistentie aannemen. </w:t>
      </w:r>
    </w:p>
    <w:p w14:paraId="509D247E" w14:textId="47A90031" w:rsidR="00EF4C6C" w:rsidRPr="009D1CB6" w:rsidRDefault="00EF4C6C" w:rsidP="00EF4C6C">
      <w:pPr>
        <w:pStyle w:val="Lijstalinea"/>
        <w:numPr>
          <w:ilvl w:val="0"/>
          <w:numId w:val="21"/>
        </w:numPr>
        <w:spacing w:line="276" w:lineRule="auto"/>
        <w:jc w:val="both"/>
        <w:rPr>
          <w:rFonts w:ascii="Arial" w:hAnsi="Arial" w:cs="Arial"/>
          <w:sz w:val="28"/>
          <w:szCs w:val="28"/>
          <w:lang w:val="nl-BE"/>
        </w:rPr>
      </w:pPr>
      <w:r w:rsidRPr="001D7810">
        <w:rPr>
          <w:sz w:val="28"/>
          <w:szCs w:val="28"/>
          <w:lang w:val="nl"/>
        </w:rPr>
        <w:t xml:space="preserve">De Europese Commissie moet persoonlijke assistentie definiëren als de belangrijkste pijler van gemeenschapsgerichte diensten voor </w:t>
      </w:r>
      <w:r w:rsidR="00BD1FB2">
        <w:rPr>
          <w:sz w:val="28"/>
          <w:szCs w:val="28"/>
          <w:lang w:val="nl"/>
        </w:rPr>
        <w:t>personen met een handicap</w:t>
      </w:r>
      <w:r w:rsidRPr="001D7810">
        <w:rPr>
          <w:sz w:val="28"/>
          <w:szCs w:val="28"/>
          <w:lang w:val="nl"/>
        </w:rPr>
        <w:t xml:space="preserve"> in alle verordeningen die relevant zijn voor EU-financiering. </w:t>
      </w:r>
    </w:p>
    <w:p w14:paraId="378DCD84" w14:textId="39794101" w:rsidR="00EF4C6C" w:rsidRPr="009D1CB6" w:rsidRDefault="00EF4C6C" w:rsidP="00EF4C6C">
      <w:pPr>
        <w:pStyle w:val="Lijstalinea"/>
        <w:numPr>
          <w:ilvl w:val="0"/>
          <w:numId w:val="21"/>
        </w:numPr>
        <w:spacing w:line="276" w:lineRule="auto"/>
        <w:jc w:val="both"/>
        <w:rPr>
          <w:rFonts w:ascii="Arial" w:hAnsi="Arial" w:cs="Arial"/>
          <w:sz w:val="28"/>
          <w:szCs w:val="28"/>
          <w:lang w:val="nl-BE"/>
        </w:rPr>
      </w:pPr>
      <w:r w:rsidRPr="001D7810">
        <w:rPr>
          <w:sz w:val="28"/>
          <w:szCs w:val="28"/>
          <w:lang w:val="nl"/>
        </w:rPr>
        <w:t xml:space="preserve">De Europese Commissie moet persoonlijke assistentie promoten via alle beschikbare kanalen op Europees en nationaal niveau, bijvoorbeeld via het </w:t>
      </w:r>
      <w:r w:rsidRPr="001465B2">
        <w:rPr>
          <w:sz w:val="28"/>
          <w:szCs w:val="28"/>
          <w:lang w:val="nl"/>
        </w:rPr>
        <w:t xml:space="preserve">Europees </w:t>
      </w:r>
      <w:r w:rsidR="001465B2" w:rsidRPr="006055E1">
        <w:rPr>
          <w:sz w:val="28"/>
          <w:szCs w:val="28"/>
          <w:lang w:val="nl"/>
        </w:rPr>
        <w:t>S</w:t>
      </w:r>
      <w:r w:rsidRPr="001465B2">
        <w:rPr>
          <w:sz w:val="28"/>
          <w:szCs w:val="28"/>
          <w:lang w:val="nl"/>
        </w:rPr>
        <w:t>emester.</w:t>
      </w:r>
      <w:r w:rsidRPr="001D7810">
        <w:rPr>
          <w:sz w:val="28"/>
          <w:szCs w:val="28"/>
          <w:lang w:val="nl"/>
        </w:rPr>
        <w:t xml:space="preserve"> </w:t>
      </w:r>
    </w:p>
    <w:p w14:paraId="0DE2E335" w14:textId="7BBF8EBD" w:rsidR="00EF4C6C" w:rsidRPr="009D1CB6" w:rsidRDefault="00EF4C6C" w:rsidP="003546A0">
      <w:pPr>
        <w:pStyle w:val="Lijstalinea"/>
        <w:numPr>
          <w:ilvl w:val="0"/>
          <w:numId w:val="21"/>
        </w:numPr>
        <w:spacing w:line="276" w:lineRule="auto"/>
        <w:jc w:val="both"/>
        <w:rPr>
          <w:rFonts w:ascii="Arial" w:hAnsi="Arial" w:cs="Arial"/>
          <w:sz w:val="28"/>
          <w:szCs w:val="28"/>
          <w:lang w:val="nl-BE"/>
        </w:rPr>
      </w:pPr>
      <w:r w:rsidRPr="001D7810">
        <w:rPr>
          <w:sz w:val="28"/>
          <w:szCs w:val="28"/>
          <w:lang w:val="nl"/>
        </w:rPr>
        <w:lastRenderedPageBreak/>
        <w:t xml:space="preserve">De Europese Commissie moet ervoor zorgen dat persoonlijke assistentie wordt verleend in overeenstemming met het </w:t>
      </w:r>
      <w:r w:rsidR="00BD1FB2">
        <w:rPr>
          <w:sz w:val="28"/>
          <w:szCs w:val="28"/>
          <w:lang w:val="nl"/>
        </w:rPr>
        <w:t>VRPH</w:t>
      </w:r>
      <w:r w:rsidRPr="001D7810">
        <w:rPr>
          <w:sz w:val="28"/>
          <w:szCs w:val="28"/>
          <w:lang w:val="nl"/>
        </w:rPr>
        <w:t xml:space="preserve">, door toezicht te houden op de projecten die zij financiert. </w:t>
      </w:r>
    </w:p>
    <w:p w14:paraId="54332BFD" w14:textId="77777777" w:rsidR="00EF4C6C" w:rsidRPr="009D1CB6" w:rsidRDefault="00EF4C6C" w:rsidP="00EF4C6C">
      <w:pPr>
        <w:spacing w:line="276" w:lineRule="auto"/>
        <w:contextualSpacing/>
        <w:jc w:val="center"/>
        <w:rPr>
          <w:rFonts w:ascii="Arial" w:hAnsi="Arial" w:cs="Arial"/>
          <w:sz w:val="28"/>
          <w:szCs w:val="28"/>
          <w:lang w:val="nl-BE"/>
        </w:rPr>
      </w:pPr>
    </w:p>
    <w:p w14:paraId="4A2B6A8B" w14:textId="210C89E2" w:rsidR="00EF4C6C" w:rsidRPr="006055E1" w:rsidRDefault="00BF75DA" w:rsidP="00EF4C6C">
      <w:pPr>
        <w:pStyle w:val="Lijstalinea"/>
        <w:numPr>
          <w:ilvl w:val="0"/>
          <w:numId w:val="18"/>
        </w:numPr>
        <w:spacing w:line="276" w:lineRule="auto"/>
        <w:jc w:val="both"/>
        <w:rPr>
          <w:rFonts w:ascii="Arial" w:hAnsi="Arial" w:cs="Arial"/>
          <w:b/>
          <w:bCs/>
          <w:color w:val="4472C4" w:themeColor="accent1"/>
          <w:sz w:val="28"/>
          <w:szCs w:val="28"/>
          <w:lang w:val="nl-BE"/>
        </w:rPr>
      </w:pPr>
      <w:r>
        <w:rPr>
          <w:b/>
          <w:bCs/>
          <w:color w:val="4472C4" w:themeColor="accent1"/>
          <w:sz w:val="28"/>
          <w:szCs w:val="28"/>
          <w:lang w:val="nl"/>
        </w:rPr>
        <w:t xml:space="preserve">Stop de </w:t>
      </w:r>
      <w:r w:rsidR="00C8178D" w:rsidRPr="001D7810">
        <w:rPr>
          <w:b/>
          <w:bCs/>
          <w:color w:val="4472C4" w:themeColor="accent1"/>
          <w:sz w:val="28"/>
          <w:szCs w:val="28"/>
          <w:lang w:val="nl"/>
        </w:rPr>
        <w:t xml:space="preserve"> institutionalisering van </w:t>
      </w:r>
      <w:r>
        <w:rPr>
          <w:b/>
          <w:bCs/>
          <w:color w:val="4472C4" w:themeColor="accent1"/>
          <w:sz w:val="28"/>
          <w:szCs w:val="28"/>
          <w:lang w:val="nl"/>
        </w:rPr>
        <w:t>personen met een handicap</w:t>
      </w:r>
    </w:p>
    <w:p w14:paraId="7EA323F8" w14:textId="77777777" w:rsidR="00EF4C6C" w:rsidRPr="006055E1" w:rsidRDefault="00EF4C6C" w:rsidP="00EF4C6C">
      <w:pPr>
        <w:spacing w:line="276" w:lineRule="auto"/>
        <w:jc w:val="both"/>
        <w:rPr>
          <w:rFonts w:ascii="Arial" w:hAnsi="Arial" w:cs="Arial"/>
          <w:sz w:val="28"/>
          <w:szCs w:val="28"/>
          <w:lang w:val="nl-BE"/>
        </w:rPr>
      </w:pPr>
    </w:p>
    <w:p w14:paraId="53A7DA40" w14:textId="2E74489B" w:rsidR="00EF4C6C" w:rsidRPr="009D1CB6" w:rsidRDefault="00EF4C6C" w:rsidP="00EF4C6C">
      <w:pPr>
        <w:spacing w:line="276" w:lineRule="auto"/>
        <w:jc w:val="both"/>
        <w:rPr>
          <w:rFonts w:ascii="Arial" w:hAnsi="Arial" w:cs="Arial"/>
          <w:sz w:val="28"/>
          <w:szCs w:val="28"/>
          <w:lang w:val="nl-BE"/>
        </w:rPr>
      </w:pPr>
      <w:r w:rsidRPr="001D7810">
        <w:rPr>
          <w:sz w:val="28"/>
          <w:szCs w:val="28"/>
          <w:lang w:val="nl"/>
        </w:rPr>
        <w:t xml:space="preserve">Artikel 19 van het </w:t>
      </w:r>
      <w:hyperlink r:id="rId16" w:history="1">
        <w:r w:rsidRPr="001D7810">
          <w:rPr>
            <w:rStyle w:val="Hyperlink"/>
            <w:sz w:val="28"/>
            <w:szCs w:val="28"/>
            <w:lang w:val="nl"/>
          </w:rPr>
          <w:t xml:space="preserve">Verdrag van de Verenigde Naties inzake de </w:t>
        </w:r>
        <w:r w:rsidR="00EB318C">
          <w:rPr>
            <w:rStyle w:val="Hyperlink"/>
            <w:sz w:val="28"/>
            <w:szCs w:val="28"/>
            <w:lang w:val="nl"/>
          </w:rPr>
          <w:t>R</w:t>
        </w:r>
        <w:r w:rsidRPr="001D7810">
          <w:rPr>
            <w:rStyle w:val="Hyperlink"/>
            <w:sz w:val="28"/>
            <w:szCs w:val="28"/>
            <w:lang w:val="nl"/>
          </w:rPr>
          <w:t xml:space="preserve">echten van </w:t>
        </w:r>
        <w:r w:rsidR="00EB318C">
          <w:rPr>
            <w:rStyle w:val="Hyperlink"/>
            <w:sz w:val="28"/>
            <w:szCs w:val="28"/>
            <w:lang w:val="nl"/>
          </w:rPr>
          <w:t>P</w:t>
        </w:r>
        <w:r w:rsidRPr="001D7810">
          <w:rPr>
            <w:rStyle w:val="Hyperlink"/>
            <w:sz w:val="28"/>
            <w:szCs w:val="28"/>
            <w:lang w:val="nl"/>
          </w:rPr>
          <w:t xml:space="preserve">ersonen met een </w:t>
        </w:r>
        <w:r w:rsidR="00EB318C">
          <w:rPr>
            <w:rStyle w:val="Hyperlink"/>
            <w:sz w:val="28"/>
            <w:szCs w:val="28"/>
            <w:lang w:val="nl"/>
          </w:rPr>
          <w:t>H</w:t>
        </w:r>
        <w:r w:rsidRPr="001D7810">
          <w:rPr>
            <w:rStyle w:val="Hyperlink"/>
            <w:sz w:val="28"/>
            <w:szCs w:val="28"/>
            <w:lang w:val="nl"/>
          </w:rPr>
          <w:t>andicap (</w:t>
        </w:r>
        <w:r w:rsidR="00EB318C">
          <w:rPr>
            <w:rStyle w:val="Hyperlink"/>
            <w:sz w:val="28"/>
            <w:szCs w:val="28"/>
            <w:lang w:val="nl"/>
          </w:rPr>
          <w:t>VRPH</w:t>
        </w:r>
        <w:r w:rsidRPr="001D7810">
          <w:rPr>
            <w:rStyle w:val="Hyperlink"/>
            <w:sz w:val="28"/>
            <w:szCs w:val="28"/>
            <w:lang w:val="nl"/>
          </w:rPr>
          <w:t>)</w:t>
        </w:r>
      </w:hyperlink>
      <w:r w:rsidRPr="001D7810">
        <w:rPr>
          <w:sz w:val="28"/>
          <w:szCs w:val="28"/>
          <w:lang w:val="nl"/>
        </w:rPr>
        <w:t xml:space="preserve"> "erkent het gelijke recht van alle personen met een handicap om in de </w:t>
      </w:r>
      <w:r w:rsidR="00A12646">
        <w:rPr>
          <w:sz w:val="28"/>
          <w:szCs w:val="28"/>
          <w:lang w:val="nl"/>
        </w:rPr>
        <w:t>maatschappij</w:t>
      </w:r>
      <w:r w:rsidRPr="001D7810">
        <w:rPr>
          <w:sz w:val="28"/>
          <w:szCs w:val="28"/>
          <w:lang w:val="nl"/>
        </w:rPr>
        <w:t xml:space="preserve"> te leven met </w:t>
      </w:r>
      <w:r w:rsidR="00FD2E73">
        <w:rPr>
          <w:sz w:val="28"/>
          <w:szCs w:val="28"/>
          <w:lang w:val="nl"/>
        </w:rPr>
        <w:t xml:space="preserve">dezelfde </w:t>
      </w:r>
      <w:r w:rsidRPr="001D7810">
        <w:rPr>
          <w:sz w:val="28"/>
          <w:szCs w:val="28"/>
          <w:lang w:val="nl"/>
        </w:rPr>
        <w:t>keuze</w:t>
      </w:r>
      <w:r w:rsidR="00FD2E73">
        <w:rPr>
          <w:sz w:val="28"/>
          <w:szCs w:val="28"/>
          <w:lang w:val="nl"/>
        </w:rPr>
        <w:t>mogelijkheden als anderen</w:t>
      </w:r>
      <w:r w:rsidRPr="001D7810">
        <w:rPr>
          <w:sz w:val="28"/>
          <w:szCs w:val="28"/>
          <w:lang w:val="nl"/>
        </w:rPr>
        <w:t xml:space="preserve">". In 2017 heeft het Comité voor de rechten van personen met een handicap de </w:t>
      </w:r>
      <w:r w:rsidRPr="001D7810">
        <w:rPr>
          <w:rStyle w:val="Voetnootmarkering"/>
          <w:sz w:val="28"/>
          <w:szCs w:val="28"/>
          <w:lang w:val="nl"/>
        </w:rPr>
        <w:footnoteReference w:id="5"/>
      </w:r>
      <w:hyperlink r:id="rId17" w:tgtFrame="_blank" w:history="1">
        <w:r w:rsidRPr="001D7810">
          <w:rPr>
            <w:rStyle w:val="Hyperlink"/>
            <w:sz w:val="28"/>
            <w:szCs w:val="28"/>
            <w:lang w:val="nl"/>
          </w:rPr>
          <w:t>algemene opmerking nr. 5</w:t>
        </w:r>
      </w:hyperlink>
      <w:r>
        <w:rPr>
          <w:lang w:val="nl"/>
        </w:rPr>
        <w:t xml:space="preserve"> aangenomen</w:t>
      </w:r>
      <w:r w:rsidRPr="001D7810">
        <w:rPr>
          <w:rStyle w:val="Hyperlink"/>
          <w:sz w:val="28"/>
          <w:szCs w:val="28"/>
          <w:lang w:val="nl"/>
        </w:rPr>
        <w:t>,</w:t>
      </w:r>
      <w:r w:rsidRPr="001D7810">
        <w:rPr>
          <w:sz w:val="28"/>
          <w:szCs w:val="28"/>
          <w:lang w:val="nl"/>
        </w:rPr>
        <w:t xml:space="preserve"> waarin staat dat "staatspartijen de onmiddellijke verplichting hebben om [...] alle geïnstitutionaliseerde instellingen </w:t>
      </w:r>
      <w:r w:rsidR="00090C70">
        <w:rPr>
          <w:sz w:val="28"/>
          <w:szCs w:val="28"/>
          <w:lang w:val="nl"/>
        </w:rPr>
        <w:t xml:space="preserve">te vervangen </w:t>
      </w:r>
      <w:r w:rsidRPr="006055E1">
        <w:rPr>
          <w:sz w:val="28"/>
          <w:szCs w:val="28"/>
          <w:lang w:val="nl"/>
        </w:rPr>
        <w:t xml:space="preserve">door </w:t>
      </w:r>
      <w:r w:rsidR="00335279" w:rsidRPr="006055E1">
        <w:rPr>
          <w:sz w:val="28"/>
          <w:szCs w:val="28"/>
          <w:lang w:val="nl"/>
        </w:rPr>
        <w:t>diensten die een onafhankelijk leven onders</w:t>
      </w:r>
      <w:r w:rsidR="00B9105D" w:rsidRPr="006055E1">
        <w:rPr>
          <w:sz w:val="28"/>
          <w:szCs w:val="28"/>
          <w:lang w:val="nl"/>
        </w:rPr>
        <w:t>teunen</w:t>
      </w:r>
      <w:r w:rsidRPr="006055E1">
        <w:rPr>
          <w:sz w:val="28"/>
          <w:szCs w:val="28"/>
          <w:lang w:val="nl"/>
        </w:rPr>
        <w:t xml:space="preserve">". </w:t>
      </w:r>
      <w:r w:rsidRPr="006055E1">
        <w:rPr>
          <w:rStyle w:val="Voetnootmarkering"/>
          <w:sz w:val="28"/>
          <w:szCs w:val="28"/>
          <w:lang w:val="nl"/>
        </w:rPr>
        <w:footnoteReference w:id="6"/>
      </w:r>
    </w:p>
    <w:p w14:paraId="696CBE83" w14:textId="77777777" w:rsidR="00EF4C6C" w:rsidRPr="009D1CB6" w:rsidRDefault="00EF4C6C" w:rsidP="00EF4C6C">
      <w:pPr>
        <w:spacing w:line="276" w:lineRule="auto"/>
        <w:jc w:val="both"/>
        <w:rPr>
          <w:rFonts w:ascii="Arial" w:hAnsi="Arial" w:cs="Arial"/>
          <w:sz w:val="28"/>
          <w:szCs w:val="28"/>
          <w:lang w:val="nl-BE"/>
        </w:rPr>
      </w:pPr>
    </w:p>
    <w:p w14:paraId="7027F7EE" w14:textId="65277549" w:rsidR="00554CA5" w:rsidRPr="009D1CB6" w:rsidRDefault="00EF4C6C" w:rsidP="00EF4C6C">
      <w:pPr>
        <w:spacing w:line="276" w:lineRule="auto"/>
        <w:jc w:val="both"/>
        <w:rPr>
          <w:rFonts w:ascii="Arial" w:hAnsi="Arial" w:cs="Arial"/>
          <w:sz w:val="28"/>
          <w:szCs w:val="28"/>
          <w:lang w:val="nl-BE"/>
        </w:rPr>
      </w:pPr>
      <w:r w:rsidRPr="001D7810">
        <w:rPr>
          <w:sz w:val="28"/>
          <w:szCs w:val="28"/>
          <w:lang w:val="nl"/>
        </w:rPr>
        <w:t xml:space="preserve">Er zijn aanwijzingen dat het aantal </w:t>
      </w:r>
      <w:r w:rsidR="00B9105D">
        <w:rPr>
          <w:sz w:val="28"/>
          <w:szCs w:val="28"/>
          <w:lang w:val="nl"/>
        </w:rPr>
        <w:t>personen met een hanidcap</w:t>
      </w:r>
      <w:r w:rsidRPr="001D7810">
        <w:rPr>
          <w:sz w:val="28"/>
          <w:szCs w:val="28"/>
          <w:lang w:val="nl"/>
        </w:rPr>
        <w:t xml:space="preserve"> dat in instellingen binnen de EU woont, tussen </w:t>
      </w:r>
      <w:r w:rsidR="003D0DF4">
        <w:fldChar w:fldCharType="begin"/>
      </w:r>
      <w:r w:rsidR="003D0DF4" w:rsidRPr="009D1CB6">
        <w:rPr>
          <w:lang w:val="nl-BE"/>
        </w:rPr>
        <w:instrText xml:space="preserve"> HYPERLINK "https://research.kent.ac.uk/tizard/2019/06/11/deinstitutionalisation-and-community-living-outcomes-and-costs/" </w:instrText>
      </w:r>
      <w:r w:rsidR="003D0DF4">
        <w:fldChar w:fldCharType="separate"/>
      </w:r>
      <w:r w:rsidRPr="001D7810">
        <w:rPr>
          <w:rStyle w:val="Hyperlink"/>
          <w:sz w:val="28"/>
          <w:szCs w:val="28"/>
          <w:lang w:val="nl"/>
        </w:rPr>
        <w:t>2007</w:t>
      </w:r>
      <w:r w:rsidR="003D0DF4">
        <w:rPr>
          <w:rStyle w:val="Hyperlink"/>
          <w:sz w:val="28"/>
          <w:szCs w:val="28"/>
          <w:lang w:val="nl"/>
        </w:rPr>
        <w:fldChar w:fldCharType="end"/>
      </w:r>
      <w:r w:rsidRPr="001D7810">
        <w:rPr>
          <w:sz w:val="28"/>
          <w:szCs w:val="28"/>
          <w:lang w:val="nl"/>
        </w:rPr>
        <w:t xml:space="preserve"> en </w:t>
      </w:r>
      <w:hyperlink r:id="rId18" w:history="1">
        <w:r w:rsidRPr="001D7810">
          <w:rPr>
            <w:rStyle w:val="Hyperlink"/>
            <w:sz w:val="28"/>
            <w:szCs w:val="28"/>
            <w:lang w:val="nl"/>
          </w:rPr>
          <w:t>2020</w:t>
        </w:r>
      </w:hyperlink>
      <w:r>
        <w:rPr>
          <w:lang w:val="nl"/>
        </w:rPr>
        <w:t xml:space="preserve"> niet is afgenomen</w:t>
      </w:r>
      <w:r w:rsidRPr="001D7810">
        <w:rPr>
          <w:sz w:val="28"/>
          <w:szCs w:val="28"/>
          <w:lang w:val="nl"/>
        </w:rPr>
        <w:t xml:space="preserve">. </w:t>
      </w:r>
      <w:r w:rsidR="00B9105D">
        <w:rPr>
          <w:sz w:val="28"/>
          <w:szCs w:val="28"/>
          <w:lang w:val="nl"/>
        </w:rPr>
        <w:t>Personen met een handicap</w:t>
      </w:r>
      <w:r w:rsidRPr="001D7810">
        <w:rPr>
          <w:sz w:val="28"/>
          <w:szCs w:val="28"/>
          <w:lang w:val="nl"/>
        </w:rPr>
        <w:t xml:space="preserve"> in heel Europa vinden de </w:t>
      </w:r>
      <w:r w:rsidR="00B9105D">
        <w:rPr>
          <w:sz w:val="28"/>
          <w:szCs w:val="28"/>
          <w:lang w:val="nl"/>
        </w:rPr>
        <w:t xml:space="preserve">uitvoering </w:t>
      </w:r>
      <w:r w:rsidRPr="001D7810">
        <w:rPr>
          <w:sz w:val="28"/>
          <w:szCs w:val="28"/>
          <w:lang w:val="nl"/>
        </w:rPr>
        <w:t xml:space="preserve"> van artikel 19 niet goed genoeg. Er bestaat bezorgdheid over het feit dat geen enkel land bereid is het verdrag volledig </w:t>
      </w:r>
      <w:r w:rsidR="00B9105D">
        <w:rPr>
          <w:sz w:val="28"/>
          <w:szCs w:val="28"/>
          <w:lang w:val="nl"/>
        </w:rPr>
        <w:t>uit te voeren</w:t>
      </w:r>
      <w:r w:rsidRPr="001D7810">
        <w:rPr>
          <w:sz w:val="28"/>
          <w:szCs w:val="28"/>
          <w:lang w:val="nl"/>
        </w:rPr>
        <w:t>.</w:t>
      </w:r>
      <w:r w:rsidRPr="001D7810">
        <w:rPr>
          <w:rStyle w:val="Voetnootmarkering"/>
          <w:color w:val="0563C1" w:themeColor="hyperlink"/>
          <w:sz w:val="28"/>
          <w:szCs w:val="28"/>
          <w:u w:val="single"/>
          <w:lang w:val="nl"/>
        </w:rPr>
        <w:footnoteReference w:id="7"/>
      </w:r>
    </w:p>
    <w:p w14:paraId="0AA18C6A" w14:textId="77777777" w:rsidR="00554CA5" w:rsidRPr="009D1CB6" w:rsidRDefault="00554CA5" w:rsidP="00EF4C6C">
      <w:pPr>
        <w:spacing w:line="276" w:lineRule="auto"/>
        <w:jc w:val="both"/>
        <w:rPr>
          <w:rFonts w:ascii="Arial" w:hAnsi="Arial" w:cs="Arial"/>
          <w:sz w:val="28"/>
          <w:szCs w:val="28"/>
          <w:lang w:val="nl-BE"/>
        </w:rPr>
      </w:pPr>
    </w:p>
    <w:p w14:paraId="53FC8D8A" w14:textId="5763C890" w:rsidR="00554CA5" w:rsidRPr="009D1CB6" w:rsidRDefault="00554CA5" w:rsidP="00EF4C6C">
      <w:pPr>
        <w:spacing w:line="276" w:lineRule="auto"/>
        <w:jc w:val="both"/>
        <w:rPr>
          <w:rFonts w:ascii="Arial" w:hAnsi="Arial" w:cs="Arial"/>
          <w:sz w:val="28"/>
          <w:szCs w:val="28"/>
          <w:lang w:val="nl-BE"/>
        </w:rPr>
      </w:pPr>
      <w:r w:rsidRPr="001D7810">
        <w:rPr>
          <w:sz w:val="28"/>
          <w:szCs w:val="28"/>
          <w:lang w:val="nl"/>
        </w:rPr>
        <w:t>Volgens</w:t>
      </w:r>
      <w:r w:rsidR="003D0DF4">
        <w:fldChar w:fldCharType="begin"/>
      </w:r>
      <w:r w:rsidR="003D0DF4" w:rsidRPr="009D1CB6">
        <w:rPr>
          <w:lang w:val="nl-BE"/>
        </w:rPr>
        <w:instrText xml:space="preserve"> HYPERLINK "https://www.ohchr.org/en/documents/general-comments-and-recommendations/general-comment-no5-article-19-right-l</w:instrText>
      </w:r>
      <w:r w:rsidR="003D0DF4" w:rsidRPr="009D1CB6">
        <w:rPr>
          <w:lang w:val="nl-BE"/>
        </w:rPr>
        <w:instrText xml:space="preserve">ive" </w:instrText>
      </w:r>
      <w:r w:rsidR="003D0DF4">
        <w:fldChar w:fldCharType="separate"/>
      </w:r>
      <w:r w:rsidR="00EF4C6C" w:rsidRPr="001D7810">
        <w:rPr>
          <w:rStyle w:val="Hyperlink"/>
          <w:sz w:val="28"/>
          <w:szCs w:val="28"/>
          <w:lang w:val="nl"/>
        </w:rPr>
        <w:t xml:space="preserve"> General Comment No 5</w:t>
      </w:r>
      <w:r w:rsidR="003D0DF4">
        <w:rPr>
          <w:rStyle w:val="Hyperlink"/>
          <w:sz w:val="28"/>
          <w:szCs w:val="28"/>
          <w:lang w:val="nl"/>
        </w:rPr>
        <w:fldChar w:fldCharType="end"/>
      </w:r>
      <w:r>
        <w:rPr>
          <w:lang w:val="nl"/>
        </w:rPr>
        <w:t xml:space="preserve"> </w:t>
      </w:r>
      <w:r w:rsidRPr="001D7810">
        <w:rPr>
          <w:sz w:val="28"/>
          <w:szCs w:val="28"/>
          <w:lang w:val="nl"/>
        </w:rPr>
        <w:t xml:space="preserve">moeten alle landen die het </w:t>
      </w:r>
      <w:r w:rsidR="00B9105D">
        <w:rPr>
          <w:sz w:val="28"/>
          <w:szCs w:val="28"/>
          <w:lang w:val="nl"/>
        </w:rPr>
        <w:t>VRPH</w:t>
      </w:r>
      <w:r w:rsidRPr="001D7810">
        <w:rPr>
          <w:sz w:val="28"/>
          <w:szCs w:val="28"/>
          <w:lang w:val="nl"/>
        </w:rPr>
        <w:t xml:space="preserve"> hebben geratificeerd "duidelijke en gerichte strategieën voor deïnstitutionalisering aannemen". Strategieën of actieplannen voor deïnstitutionalisering moeten "specifieke tijdschema's en toereikende budgetten bevatten om alle vormen van isolatie, segregatie en institutionalisering van personen met een handicap te bannen". Momenteel hebben </w:t>
      </w:r>
      <w:r w:rsidR="003D0DF4">
        <w:fldChar w:fldCharType="begin"/>
      </w:r>
      <w:r w:rsidR="003D0DF4" w:rsidRPr="009D1CB6">
        <w:rPr>
          <w:lang w:val="nl-BE"/>
        </w:rPr>
        <w:instrText xml:space="preserve"> HYPERLINK "https://enil.eu/wp-content/uploads/2022/03/IL-Survey_Summary-report_Dec2020.pdf" </w:instrText>
      </w:r>
      <w:r w:rsidR="003D0DF4">
        <w:fldChar w:fldCharType="separate"/>
      </w:r>
      <w:r w:rsidR="00EF4C6C" w:rsidRPr="001D7810">
        <w:rPr>
          <w:rStyle w:val="Hyperlink"/>
          <w:sz w:val="28"/>
          <w:szCs w:val="28"/>
          <w:lang w:val="nl"/>
        </w:rPr>
        <w:t>13 van de 27 EU-landen deïnstitutionaliseringsstrategieën aangenomen</w:t>
      </w:r>
      <w:r w:rsidR="003D0DF4">
        <w:rPr>
          <w:rStyle w:val="Hyperlink"/>
          <w:sz w:val="28"/>
          <w:szCs w:val="28"/>
          <w:lang w:val="nl"/>
        </w:rPr>
        <w:fldChar w:fldCharType="end"/>
      </w:r>
      <w:r w:rsidR="00EF4C6C" w:rsidRPr="001D7810">
        <w:rPr>
          <w:sz w:val="28"/>
          <w:szCs w:val="28"/>
          <w:lang w:val="nl"/>
        </w:rPr>
        <w:t>.</w:t>
      </w:r>
      <w:r w:rsidR="00EF4C6C" w:rsidRPr="001D7810">
        <w:rPr>
          <w:rStyle w:val="Voetnootmarkering"/>
          <w:sz w:val="28"/>
          <w:szCs w:val="28"/>
          <w:lang w:val="nl"/>
        </w:rPr>
        <w:footnoteReference w:id="8"/>
      </w:r>
    </w:p>
    <w:p w14:paraId="086946A9" w14:textId="77777777" w:rsidR="00554CA5" w:rsidRPr="009D1CB6" w:rsidRDefault="00554CA5" w:rsidP="00EF4C6C">
      <w:pPr>
        <w:spacing w:line="276" w:lineRule="auto"/>
        <w:jc w:val="both"/>
        <w:rPr>
          <w:rFonts w:ascii="Arial" w:hAnsi="Arial" w:cs="Arial"/>
          <w:sz w:val="28"/>
          <w:szCs w:val="28"/>
          <w:lang w:val="nl-BE"/>
        </w:rPr>
      </w:pPr>
    </w:p>
    <w:p w14:paraId="78E6A7D4" w14:textId="02B8FFBF" w:rsidR="00554CA5" w:rsidRPr="009D1CB6" w:rsidRDefault="00EF4C6C" w:rsidP="00EF4C6C">
      <w:pPr>
        <w:spacing w:line="276" w:lineRule="auto"/>
        <w:jc w:val="both"/>
        <w:rPr>
          <w:rFonts w:ascii="Arial" w:hAnsi="Arial" w:cs="Arial"/>
          <w:sz w:val="28"/>
          <w:szCs w:val="28"/>
          <w:lang w:val="nl-BE"/>
        </w:rPr>
      </w:pPr>
      <w:r w:rsidRPr="001D7810">
        <w:rPr>
          <w:sz w:val="28"/>
          <w:szCs w:val="28"/>
          <w:lang w:val="nl"/>
        </w:rPr>
        <w:lastRenderedPageBreak/>
        <w:t>In al</w:t>
      </w:r>
      <w:r w:rsidR="002139BE">
        <w:rPr>
          <w:sz w:val="28"/>
          <w:szCs w:val="28"/>
          <w:lang w:val="nl"/>
        </w:rPr>
        <w:t xml:space="preserve"> deze</w:t>
      </w:r>
      <w:r w:rsidRPr="001D7810">
        <w:rPr>
          <w:sz w:val="28"/>
          <w:szCs w:val="28"/>
          <w:lang w:val="nl"/>
        </w:rPr>
        <w:t xml:space="preserve"> 13 EU-landen vinden mensen met een handicap hun deïnstitutionaliseringsstrategie niet goed genoeg. Strategieën van regeringen zijn vaak te ingewikkeld en het is niet duidelijk hoe deïnstitutionalisering zal plaatsvinden - de strategieën van </w:t>
      </w:r>
      <w:hyperlink r:id="rId19" w:history="1">
        <w:r w:rsidRPr="001D7810">
          <w:rPr>
            <w:rStyle w:val="Hyperlink"/>
            <w:sz w:val="28"/>
            <w:szCs w:val="28"/>
            <w:lang w:val="nl"/>
          </w:rPr>
          <w:t>Litouwen</w:t>
        </w:r>
      </w:hyperlink>
      <w:r w:rsidRPr="001D7810">
        <w:rPr>
          <w:sz w:val="28"/>
          <w:szCs w:val="28"/>
          <w:lang w:val="nl"/>
        </w:rPr>
        <w:t xml:space="preserve"> en </w:t>
      </w:r>
      <w:hyperlink r:id="rId20" w:history="1">
        <w:r w:rsidRPr="001D7810">
          <w:rPr>
            <w:rStyle w:val="Hyperlink"/>
            <w:sz w:val="28"/>
            <w:szCs w:val="28"/>
            <w:lang w:val="nl"/>
          </w:rPr>
          <w:t>Polen</w:t>
        </w:r>
      </w:hyperlink>
      <w:r w:rsidRPr="001D7810">
        <w:rPr>
          <w:sz w:val="28"/>
          <w:szCs w:val="28"/>
          <w:lang w:val="nl"/>
        </w:rPr>
        <w:t xml:space="preserve"> zijn hier een </w:t>
      </w:r>
      <w:r w:rsidRPr="006055E1">
        <w:rPr>
          <w:sz w:val="28"/>
          <w:szCs w:val="28"/>
          <w:lang w:val="nl"/>
        </w:rPr>
        <w:t xml:space="preserve">goed voorbeeld van. Momenteel is er op EU- en nationaal niveau geen informatie over hoeveel </w:t>
      </w:r>
      <w:r w:rsidR="002139BE" w:rsidRPr="006055E1">
        <w:rPr>
          <w:sz w:val="28"/>
          <w:szCs w:val="28"/>
          <w:lang w:val="nl"/>
        </w:rPr>
        <w:t>personen met een handicap</w:t>
      </w:r>
      <w:r w:rsidRPr="006055E1">
        <w:rPr>
          <w:sz w:val="28"/>
          <w:szCs w:val="28"/>
          <w:lang w:val="nl"/>
        </w:rPr>
        <w:t xml:space="preserve"> in instellingen wonen – dit omvat </w:t>
      </w:r>
      <w:r w:rsidR="00E21378" w:rsidRPr="006055E1">
        <w:rPr>
          <w:sz w:val="28"/>
          <w:szCs w:val="28"/>
          <w:lang w:val="nl"/>
        </w:rPr>
        <w:t>verzorgings</w:t>
      </w:r>
      <w:r w:rsidR="00C974F5" w:rsidRPr="006055E1">
        <w:rPr>
          <w:sz w:val="28"/>
          <w:szCs w:val="28"/>
          <w:lang w:val="nl"/>
        </w:rPr>
        <w:t>te</w:t>
      </w:r>
      <w:r w:rsidRPr="006055E1">
        <w:rPr>
          <w:sz w:val="28"/>
          <w:szCs w:val="28"/>
          <w:lang w:val="nl"/>
        </w:rPr>
        <w:t xml:space="preserve">huizen, psychiatrische ziekenhuizen, groepshuizen, </w:t>
      </w:r>
      <w:r w:rsidR="00633F8D" w:rsidRPr="006055E1">
        <w:rPr>
          <w:sz w:val="28"/>
          <w:szCs w:val="28"/>
          <w:lang w:val="nl"/>
        </w:rPr>
        <w:t>‘social care facilities’</w:t>
      </w:r>
      <w:r w:rsidRPr="006055E1">
        <w:rPr>
          <w:sz w:val="28"/>
          <w:szCs w:val="28"/>
          <w:lang w:val="nl"/>
        </w:rPr>
        <w:t>en instellingen</w:t>
      </w:r>
      <w:r w:rsidR="00CD30F3">
        <w:rPr>
          <w:sz w:val="28"/>
          <w:szCs w:val="28"/>
          <w:lang w:val="nl"/>
        </w:rPr>
        <w:t xml:space="preserve"> voor kinderen</w:t>
      </w:r>
      <w:r w:rsidRPr="001D7810">
        <w:rPr>
          <w:sz w:val="28"/>
          <w:szCs w:val="28"/>
          <w:lang w:val="nl"/>
        </w:rPr>
        <w:t>. Zonder deze informatie bestaat de mogelijkheid dat niet alle instellingen worden gesloten.</w:t>
      </w:r>
      <w:r w:rsidRPr="001D7810">
        <w:rPr>
          <w:rStyle w:val="Voetnootmarkering"/>
          <w:sz w:val="28"/>
          <w:szCs w:val="28"/>
          <w:lang w:val="nl"/>
        </w:rPr>
        <w:footnoteReference w:id="9"/>
      </w:r>
    </w:p>
    <w:p w14:paraId="0BD58BB3" w14:textId="254C3DAC" w:rsidR="00EF4C6C" w:rsidRPr="009D1CB6" w:rsidRDefault="00EF4C6C" w:rsidP="00EF4C6C">
      <w:pPr>
        <w:spacing w:line="276" w:lineRule="auto"/>
        <w:jc w:val="both"/>
        <w:rPr>
          <w:rFonts w:ascii="Arial" w:hAnsi="Arial" w:cs="Arial"/>
          <w:sz w:val="28"/>
          <w:szCs w:val="28"/>
          <w:lang w:val="nl-BE"/>
        </w:rPr>
      </w:pPr>
      <w:r w:rsidRPr="009D1CB6">
        <w:rPr>
          <w:rFonts w:ascii="Arial" w:hAnsi="Arial" w:cs="Arial"/>
          <w:sz w:val="28"/>
          <w:szCs w:val="28"/>
          <w:lang w:val="nl-BE"/>
        </w:rPr>
        <w:t xml:space="preserve">  </w:t>
      </w:r>
    </w:p>
    <w:p w14:paraId="1AB52F15" w14:textId="0E37FAE3" w:rsidR="000B7697" w:rsidRPr="009D1CB6" w:rsidRDefault="000B7697" w:rsidP="000B7697">
      <w:pPr>
        <w:spacing w:line="276" w:lineRule="auto"/>
        <w:contextualSpacing/>
        <w:jc w:val="both"/>
        <w:rPr>
          <w:rFonts w:ascii="Arial" w:hAnsi="Arial" w:cs="Arial"/>
          <w:sz w:val="28"/>
          <w:szCs w:val="28"/>
          <w:lang w:val="nl-BE"/>
        </w:rPr>
      </w:pPr>
      <w:r w:rsidRPr="001D7810">
        <w:rPr>
          <w:sz w:val="28"/>
          <w:szCs w:val="28"/>
          <w:lang w:val="nl"/>
        </w:rPr>
        <w:t xml:space="preserve">Om een einde te maken aan de institutionalisering van mensen met een handicap, raden we het volgende aan: </w:t>
      </w:r>
    </w:p>
    <w:p w14:paraId="7BC60D42" w14:textId="77777777" w:rsidR="00EF4C6C" w:rsidRPr="009D1CB6" w:rsidRDefault="00EF4C6C" w:rsidP="00EF4C6C">
      <w:pPr>
        <w:spacing w:line="276" w:lineRule="auto"/>
        <w:jc w:val="both"/>
        <w:rPr>
          <w:rFonts w:ascii="Arial" w:hAnsi="Arial" w:cs="Arial"/>
          <w:sz w:val="28"/>
          <w:szCs w:val="28"/>
          <w:lang w:val="nl-BE"/>
        </w:rPr>
      </w:pPr>
    </w:p>
    <w:p w14:paraId="77F79E86" w14:textId="14A0884C" w:rsidR="00EF4C6C" w:rsidRPr="009D1CB6" w:rsidRDefault="00EF4C6C" w:rsidP="00EF4C6C">
      <w:pPr>
        <w:pStyle w:val="Lijstalinea"/>
        <w:numPr>
          <w:ilvl w:val="0"/>
          <w:numId w:val="17"/>
        </w:numPr>
        <w:spacing w:line="276" w:lineRule="auto"/>
        <w:ind w:left="360"/>
        <w:jc w:val="both"/>
        <w:rPr>
          <w:rFonts w:ascii="Arial" w:hAnsi="Arial" w:cs="Arial"/>
          <w:sz w:val="28"/>
          <w:szCs w:val="28"/>
          <w:lang w:val="nl-BE"/>
        </w:rPr>
      </w:pPr>
      <w:r w:rsidRPr="001D7810">
        <w:rPr>
          <w:sz w:val="28"/>
          <w:szCs w:val="28"/>
          <w:lang w:val="nl"/>
        </w:rPr>
        <w:t xml:space="preserve">De Europese Unie en alle lidstaten moeten strategieën en actieplannen voor deïnstitutionalisering </w:t>
      </w:r>
      <w:r w:rsidR="00A23D1A">
        <w:rPr>
          <w:sz w:val="28"/>
          <w:szCs w:val="28"/>
          <w:lang w:val="nl"/>
        </w:rPr>
        <w:t>op</w:t>
      </w:r>
      <w:r w:rsidRPr="001D7810">
        <w:rPr>
          <w:sz w:val="28"/>
          <w:szCs w:val="28"/>
          <w:lang w:val="nl"/>
        </w:rPr>
        <w:t xml:space="preserve">stellen. Zo moet de Europese Unie een aanbeveling van de Raad aannemen en het Europees Parlement een initiatiefverslag over deïnstitutionalisering. </w:t>
      </w:r>
    </w:p>
    <w:p w14:paraId="71897D21" w14:textId="36EC26CD" w:rsidR="00EF4C6C" w:rsidRPr="009D1CB6" w:rsidRDefault="000B7697" w:rsidP="00EF4C6C">
      <w:pPr>
        <w:pStyle w:val="Lijstalinea"/>
        <w:numPr>
          <w:ilvl w:val="0"/>
          <w:numId w:val="17"/>
        </w:numPr>
        <w:spacing w:line="276" w:lineRule="auto"/>
        <w:ind w:left="360"/>
        <w:jc w:val="both"/>
        <w:rPr>
          <w:rFonts w:ascii="Arial" w:hAnsi="Arial" w:cs="Arial"/>
          <w:sz w:val="28"/>
          <w:szCs w:val="28"/>
          <w:lang w:val="nl-BE"/>
        </w:rPr>
      </w:pPr>
      <w:r w:rsidRPr="001D7810">
        <w:rPr>
          <w:sz w:val="28"/>
          <w:szCs w:val="28"/>
          <w:lang w:val="nl"/>
        </w:rPr>
        <w:t xml:space="preserve">Deïnstitutionaliseringsstrategieën of -plannen moeten juridisch bindend zijn en in overeenstemming zijn met het </w:t>
      </w:r>
      <w:r w:rsidR="001F3AF4">
        <w:rPr>
          <w:sz w:val="28"/>
          <w:szCs w:val="28"/>
          <w:lang w:val="nl"/>
        </w:rPr>
        <w:t>VRPH</w:t>
      </w:r>
      <w:r w:rsidRPr="001D7810">
        <w:rPr>
          <w:sz w:val="28"/>
          <w:szCs w:val="28"/>
          <w:lang w:val="nl"/>
        </w:rPr>
        <w:t xml:space="preserve"> en algemene opmerking nr. 5. Zij moeten onder meer specifieke tijdschema's en toereikende budgetten omvatten, en zij moeten samen met </w:t>
      </w:r>
      <w:r w:rsidR="001F3AF4">
        <w:rPr>
          <w:sz w:val="28"/>
          <w:szCs w:val="28"/>
          <w:lang w:val="nl"/>
        </w:rPr>
        <w:t>personen met een handicap</w:t>
      </w:r>
      <w:r w:rsidRPr="001D7810">
        <w:rPr>
          <w:sz w:val="28"/>
          <w:szCs w:val="28"/>
          <w:lang w:val="nl"/>
        </w:rPr>
        <w:t xml:space="preserve"> en hun organisaties worden geschreven. </w:t>
      </w:r>
    </w:p>
    <w:p w14:paraId="42923DF8" w14:textId="1C994D6F" w:rsidR="00EF4C6C" w:rsidRPr="006055E1" w:rsidRDefault="000B7697" w:rsidP="00EF4C6C">
      <w:pPr>
        <w:pStyle w:val="Lijstalinea"/>
        <w:numPr>
          <w:ilvl w:val="0"/>
          <w:numId w:val="17"/>
        </w:numPr>
        <w:spacing w:line="276" w:lineRule="auto"/>
        <w:ind w:left="360"/>
        <w:jc w:val="both"/>
        <w:rPr>
          <w:rFonts w:ascii="Arial" w:hAnsi="Arial" w:cs="Arial"/>
          <w:sz w:val="28"/>
          <w:szCs w:val="28"/>
          <w:lang w:val="nl-BE"/>
        </w:rPr>
      </w:pPr>
      <w:r w:rsidRPr="006055E1">
        <w:rPr>
          <w:sz w:val="28"/>
          <w:szCs w:val="28"/>
          <w:lang w:val="nl"/>
        </w:rPr>
        <w:t xml:space="preserve">Deïnstitutionaliseringsstrategieën moeten gebaseerd zijn op de wereldwijde "Guidelines for Deinstitutionalisation, including in Emergencies" , die in september 2022 door het Comité voor de rechten van personen met een handicap </w:t>
      </w:r>
      <w:r w:rsidR="00733473" w:rsidRPr="006055E1">
        <w:rPr>
          <w:sz w:val="28"/>
          <w:szCs w:val="28"/>
          <w:lang w:val="nl"/>
        </w:rPr>
        <w:t>werden</w:t>
      </w:r>
      <w:r w:rsidRPr="006055E1">
        <w:rPr>
          <w:sz w:val="28"/>
          <w:szCs w:val="28"/>
          <w:lang w:val="nl"/>
        </w:rPr>
        <w:t xml:space="preserve"> aangenomen.</w:t>
      </w:r>
      <w:r w:rsidRPr="006055E1">
        <w:rPr>
          <w:rStyle w:val="Voetnootmarkering"/>
          <w:sz w:val="28"/>
          <w:szCs w:val="28"/>
          <w:lang w:val="nl"/>
        </w:rPr>
        <w:footnoteReference w:id="10"/>
      </w:r>
    </w:p>
    <w:p w14:paraId="7F602AFB" w14:textId="7BCB02A4" w:rsidR="00EF4C6C" w:rsidRPr="009D1CB6" w:rsidRDefault="00EF4C6C" w:rsidP="00EF4C6C">
      <w:pPr>
        <w:pStyle w:val="Lijstalinea"/>
        <w:numPr>
          <w:ilvl w:val="0"/>
          <w:numId w:val="17"/>
        </w:numPr>
        <w:spacing w:line="276" w:lineRule="auto"/>
        <w:ind w:left="360"/>
        <w:jc w:val="both"/>
        <w:rPr>
          <w:rFonts w:ascii="Arial" w:hAnsi="Arial" w:cs="Arial"/>
          <w:sz w:val="28"/>
          <w:szCs w:val="28"/>
          <w:lang w:val="nl-BE"/>
        </w:rPr>
      </w:pPr>
      <w:r w:rsidRPr="006055E1">
        <w:rPr>
          <w:sz w:val="28"/>
          <w:szCs w:val="28"/>
          <w:lang w:val="nl"/>
        </w:rPr>
        <w:t xml:space="preserve">De Europese Unie moet informatie verzamelen over het aantal </w:t>
      </w:r>
      <w:r w:rsidR="00733473" w:rsidRPr="006055E1">
        <w:rPr>
          <w:sz w:val="28"/>
          <w:szCs w:val="28"/>
          <w:lang w:val="nl"/>
        </w:rPr>
        <w:t>personen met een handicap</w:t>
      </w:r>
      <w:r w:rsidRPr="006055E1">
        <w:rPr>
          <w:sz w:val="28"/>
          <w:szCs w:val="28"/>
          <w:lang w:val="nl"/>
        </w:rPr>
        <w:t xml:space="preserve"> dat in instellingen woont, onder meer in </w:t>
      </w:r>
      <w:r w:rsidR="00E21378" w:rsidRPr="006055E1">
        <w:rPr>
          <w:sz w:val="28"/>
          <w:szCs w:val="28"/>
          <w:lang w:val="nl"/>
        </w:rPr>
        <w:t>verzorgingstehuizen</w:t>
      </w:r>
      <w:r w:rsidRPr="006055E1">
        <w:rPr>
          <w:sz w:val="28"/>
          <w:szCs w:val="28"/>
          <w:lang w:val="nl"/>
        </w:rPr>
        <w:t>,</w:t>
      </w:r>
      <w:r w:rsidRPr="001D7810">
        <w:rPr>
          <w:sz w:val="28"/>
          <w:szCs w:val="28"/>
          <w:lang w:val="nl"/>
        </w:rPr>
        <w:t xml:space="preserve"> psychiatrische ziekenhuizen, groepshuizen, </w:t>
      </w:r>
      <w:r w:rsidR="007F3A87">
        <w:rPr>
          <w:sz w:val="28"/>
          <w:szCs w:val="28"/>
          <w:lang w:val="nl"/>
        </w:rPr>
        <w:t>‘sociale care facilities’</w:t>
      </w:r>
      <w:r w:rsidRPr="001D7810">
        <w:rPr>
          <w:sz w:val="28"/>
          <w:szCs w:val="28"/>
          <w:lang w:val="nl"/>
        </w:rPr>
        <w:t xml:space="preserve"> en </w:t>
      </w:r>
      <w:r w:rsidR="00CD5275">
        <w:rPr>
          <w:sz w:val="28"/>
          <w:szCs w:val="28"/>
          <w:lang w:val="nl"/>
        </w:rPr>
        <w:t>i</w:t>
      </w:r>
      <w:r w:rsidRPr="001D7810">
        <w:rPr>
          <w:sz w:val="28"/>
          <w:szCs w:val="28"/>
          <w:lang w:val="nl"/>
        </w:rPr>
        <w:t>nstellingen</w:t>
      </w:r>
      <w:r w:rsidR="00CD5275">
        <w:rPr>
          <w:sz w:val="28"/>
          <w:szCs w:val="28"/>
          <w:lang w:val="nl"/>
        </w:rPr>
        <w:t xml:space="preserve"> voor kinderen</w:t>
      </w:r>
      <w:r w:rsidRPr="001D7810">
        <w:rPr>
          <w:sz w:val="28"/>
          <w:szCs w:val="28"/>
          <w:lang w:val="nl"/>
        </w:rPr>
        <w:t xml:space="preserve">. Dit moet zowel op het niveau van de lidstaten als op het niveau van de EU worden verzameld. </w:t>
      </w:r>
    </w:p>
    <w:p w14:paraId="275DE1DC" w14:textId="77777777" w:rsidR="00EF4C6C" w:rsidRPr="009D1CB6" w:rsidRDefault="00EF4C6C" w:rsidP="00EF4C6C">
      <w:pPr>
        <w:spacing w:line="276" w:lineRule="auto"/>
        <w:jc w:val="both"/>
        <w:rPr>
          <w:rFonts w:ascii="Arial" w:hAnsi="Arial" w:cs="Arial"/>
          <w:sz w:val="28"/>
          <w:szCs w:val="28"/>
          <w:lang w:val="nl-BE"/>
        </w:rPr>
      </w:pPr>
    </w:p>
    <w:p w14:paraId="57AE865E" w14:textId="36314923" w:rsidR="00EF4C6C" w:rsidRPr="009D1CB6" w:rsidRDefault="00EB2E43" w:rsidP="00EF4C6C">
      <w:pPr>
        <w:pStyle w:val="Lijstalinea"/>
        <w:numPr>
          <w:ilvl w:val="0"/>
          <w:numId w:val="18"/>
        </w:numPr>
        <w:spacing w:line="276" w:lineRule="auto"/>
        <w:jc w:val="both"/>
        <w:rPr>
          <w:rFonts w:ascii="Arial" w:hAnsi="Arial" w:cs="Arial"/>
          <w:b/>
          <w:bCs/>
          <w:color w:val="4472C4" w:themeColor="accent1"/>
          <w:sz w:val="28"/>
          <w:szCs w:val="28"/>
          <w:lang w:val="nl-BE"/>
        </w:rPr>
      </w:pPr>
      <w:r>
        <w:rPr>
          <w:b/>
          <w:bCs/>
          <w:color w:val="4472C4" w:themeColor="accent1"/>
          <w:sz w:val="28"/>
          <w:szCs w:val="28"/>
          <w:lang w:val="nl"/>
        </w:rPr>
        <w:t xml:space="preserve">Gebruik </w:t>
      </w:r>
      <w:r w:rsidR="00C8178D" w:rsidRPr="001D7810">
        <w:rPr>
          <w:b/>
          <w:bCs/>
          <w:color w:val="4472C4" w:themeColor="accent1"/>
          <w:sz w:val="28"/>
          <w:szCs w:val="28"/>
          <w:lang w:val="nl"/>
        </w:rPr>
        <w:t>EU-middelen voor gemeenschapsgerichte ondersteuning en diensten</w:t>
      </w:r>
    </w:p>
    <w:p w14:paraId="5D65AEFF" w14:textId="77777777" w:rsidR="00EF4C6C" w:rsidRPr="009D1CB6" w:rsidRDefault="00EF4C6C" w:rsidP="00EF4C6C">
      <w:pPr>
        <w:spacing w:line="276" w:lineRule="auto"/>
        <w:jc w:val="both"/>
        <w:rPr>
          <w:rFonts w:ascii="Arial" w:hAnsi="Arial" w:cs="Arial"/>
          <w:sz w:val="28"/>
          <w:szCs w:val="28"/>
          <w:lang w:val="nl-BE"/>
        </w:rPr>
      </w:pPr>
    </w:p>
    <w:p w14:paraId="5722BF4F" w14:textId="1BCF8B6C" w:rsidR="00F12B60" w:rsidRPr="009D1CB6" w:rsidRDefault="003D0DF4" w:rsidP="00EF4C6C">
      <w:pPr>
        <w:spacing w:line="276" w:lineRule="auto"/>
        <w:jc w:val="both"/>
        <w:rPr>
          <w:rFonts w:ascii="Arial" w:hAnsi="Arial" w:cs="Arial"/>
          <w:sz w:val="28"/>
          <w:szCs w:val="28"/>
          <w:lang w:val="nl-BE"/>
        </w:rPr>
      </w:pPr>
      <w:hyperlink r:id="rId21" w:history="1">
        <w:r w:rsidR="00EF4C6C" w:rsidRPr="001D7810">
          <w:rPr>
            <w:rStyle w:val="Hyperlink"/>
            <w:sz w:val="28"/>
            <w:szCs w:val="28"/>
            <w:lang w:val="nl"/>
          </w:rPr>
          <w:t>General Comment No 5</w:t>
        </w:r>
      </w:hyperlink>
      <w:r w:rsidR="00EF4C6C" w:rsidRPr="001D7810">
        <w:rPr>
          <w:sz w:val="28"/>
          <w:szCs w:val="28"/>
          <w:lang w:val="nl"/>
        </w:rPr>
        <w:t xml:space="preserve"> stelt dat "er geen nieuwe instellingen voor langdurige zorg mogen worden gebouwd en dat oudere residentiële instellingen voor langdurige zorg niet mogen worden gerenoveerd </w:t>
      </w:r>
      <w:r w:rsidR="002835A6">
        <w:rPr>
          <w:sz w:val="28"/>
          <w:szCs w:val="28"/>
          <w:lang w:val="nl"/>
        </w:rPr>
        <w:t>met uitz</w:t>
      </w:r>
      <w:r w:rsidR="00C0547B">
        <w:rPr>
          <w:sz w:val="28"/>
          <w:szCs w:val="28"/>
          <w:lang w:val="nl"/>
        </w:rPr>
        <w:t xml:space="preserve">ondering van </w:t>
      </w:r>
      <w:r w:rsidR="00EF4C6C" w:rsidRPr="001D7810">
        <w:rPr>
          <w:sz w:val="28"/>
          <w:szCs w:val="28"/>
          <w:lang w:val="nl"/>
        </w:rPr>
        <w:t>de meest dringende maatregelen die nodig zijn". Bovendien moeten "staatspartijen ervoor zorgen dat publieke of private middelen niet worden besteed aan het onderhouden, renoveren, oprichten, bouwen of creëren van enige vorm van instellingen of institutionalisering"</w:t>
      </w:r>
      <w:r w:rsidR="00C0547B">
        <w:rPr>
          <w:sz w:val="28"/>
          <w:szCs w:val="28"/>
          <w:lang w:val="nl"/>
        </w:rPr>
        <w:t>.</w:t>
      </w:r>
      <w:r w:rsidR="00EF4C6C" w:rsidRPr="001D7810">
        <w:rPr>
          <w:sz w:val="28"/>
          <w:szCs w:val="28"/>
          <w:lang w:val="nl"/>
        </w:rPr>
        <w:t xml:space="preserve"> </w:t>
      </w:r>
    </w:p>
    <w:p w14:paraId="2F4AE964" w14:textId="77777777" w:rsidR="00F12B60" w:rsidRPr="009D1CB6" w:rsidRDefault="00F12B60" w:rsidP="00EF4C6C">
      <w:pPr>
        <w:spacing w:line="276" w:lineRule="auto"/>
        <w:jc w:val="both"/>
        <w:rPr>
          <w:rFonts w:ascii="Arial" w:hAnsi="Arial" w:cs="Arial"/>
          <w:sz w:val="28"/>
          <w:szCs w:val="28"/>
          <w:lang w:val="nl-BE"/>
        </w:rPr>
      </w:pPr>
    </w:p>
    <w:p w14:paraId="0CC91793" w14:textId="481DDA2F" w:rsidR="00EF4C6C" w:rsidRPr="009D1CB6" w:rsidRDefault="00F12B60" w:rsidP="00EF4C6C">
      <w:pPr>
        <w:spacing w:line="276" w:lineRule="auto"/>
        <w:jc w:val="both"/>
        <w:rPr>
          <w:rFonts w:ascii="Arial" w:hAnsi="Arial" w:cs="Arial"/>
          <w:sz w:val="28"/>
          <w:szCs w:val="28"/>
          <w:lang w:val="nl-BE"/>
        </w:rPr>
      </w:pPr>
      <w:r w:rsidRPr="001D7810">
        <w:rPr>
          <w:sz w:val="28"/>
          <w:szCs w:val="28"/>
          <w:lang w:val="nl"/>
        </w:rPr>
        <w:t xml:space="preserve">Volgens artikel 17 van het EU-Verdrag moet de Europese Commissie "toezien op de toepassing van het recht van de Unie". Het </w:t>
      </w:r>
      <w:r w:rsidR="007D41D7">
        <w:rPr>
          <w:sz w:val="28"/>
          <w:szCs w:val="28"/>
          <w:lang w:val="nl"/>
        </w:rPr>
        <w:t>VRPH</w:t>
      </w:r>
      <w:r w:rsidRPr="001D7810">
        <w:rPr>
          <w:sz w:val="28"/>
          <w:szCs w:val="28"/>
          <w:lang w:val="nl"/>
        </w:rPr>
        <w:t xml:space="preserve"> maakt deel uit van het EU-recht. Bovendien</w:t>
      </w:r>
      <w:r w:rsidRPr="001D7810">
        <w:rPr>
          <w:rStyle w:val="Voetnootmarkering"/>
          <w:sz w:val="28"/>
          <w:szCs w:val="28"/>
          <w:lang w:val="nl"/>
        </w:rPr>
        <w:footnoteReference w:id="11"/>
      </w:r>
      <w:r w:rsidR="00EF4C6C" w:rsidRPr="001D7810">
        <w:rPr>
          <w:rStyle w:val="markedcontent"/>
          <w:sz w:val="28"/>
          <w:szCs w:val="28"/>
          <w:lang w:val="nl"/>
        </w:rPr>
        <w:t xml:space="preserve"> bepaalt </w:t>
      </w:r>
      <w:r>
        <w:rPr>
          <w:lang w:val="nl"/>
        </w:rPr>
        <w:t xml:space="preserve"> de regelgeving over het gebruik van EU-fondsen </w:t>
      </w:r>
      <w:r w:rsidR="00EF4C6C" w:rsidRPr="001D7810">
        <w:rPr>
          <w:sz w:val="28"/>
          <w:szCs w:val="28"/>
          <w:lang w:val="nl"/>
        </w:rPr>
        <w:t xml:space="preserve">dat de lidstaten "de verplichtingen moeten nakomen" die in het verdrag zijn vastgelegd en dat de fondsen "geen acties mogen ondersteunen die bijdragen aan enige vorm van segregatie of uitsluiting". Het </w:t>
      </w:r>
      <w:r w:rsidR="00E83EA6">
        <w:rPr>
          <w:sz w:val="28"/>
          <w:szCs w:val="28"/>
          <w:lang w:val="nl"/>
        </w:rPr>
        <w:t>VRPH</w:t>
      </w:r>
      <w:r w:rsidR="00EF4C6C" w:rsidRPr="001D7810">
        <w:rPr>
          <w:sz w:val="28"/>
          <w:szCs w:val="28"/>
          <w:lang w:val="nl"/>
        </w:rPr>
        <w:t xml:space="preserve">-comité </w:t>
      </w:r>
      <w:hyperlink r:id="rId22" w:history="1">
        <w:r w:rsidRPr="001D7810">
          <w:rPr>
            <w:rStyle w:val="Hyperlink"/>
            <w:sz w:val="28"/>
            <w:szCs w:val="28"/>
            <w:lang w:val="nl"/>
          </w:rPr>
          <w:t>heeft de EU ook aanbevolen</w:t>
        </w:r>
      </w:hyperlink>
      <w:r w:rsidRPr="001D7810">
        <w:rPr>
          <w:sz w:val="28"/>
          <w:szCs w:val="28"/>
          <w:lang w:val="nl"/>
        </w:rPr>
        <w:t xml:space="preserve"> "het toezicht op het gebruik van de Europese </w:t>
      </w:r>
      <w:r w:rsidR="007440A8">
        <w:rPr>
          <w:sz w:val="28"/>
          <w:szCs w:val="28"/>
          <w:lang w:val="nl"/>
        </w:rPr>
        <w:t>S</w:t>
      </w:r>
      <w:r w:rsidRPr="001D7810">
        <w:rPr>
          <w:sz w:val="28"/>
          <w:szCs w:val="28"/>
          <w:lang w:val="nl"/>
        </w:rPr>
        <w:t>tructu</w:t>
      </w:r>
      <w:r w:rsidR="007440A8">
        <w:rPr>
          <w:sz w:val="28"/>
          <w:szCs w:val="28"/>
          <w:lang w:val="nl"/>
        </w:rPr>
        <w:t>rele</w:t>
      </w:r>
      <w:r w:rsidRPr="001D7810">
        <w:rPr>
          <w:sz w:val="28"/>
          <w:szCs w:val="28"/>
          <w:lang w:val="nl"/>
        </w:rPr>
        <w:t xml:space="preserve">- en </w:t>
      </w:r>
      <w:r w:rsidR="007440A8">
        <w:rPr>
          <w:sz w:val="28"/>
          <w:szCs w:val="28"/>
          <w:lang w:val="nl"/>
        </w:rPr>
        <w:t>I</w:t>
      </w:r>
      <w:r w:rsidRPr="001D7810">
        <w:rPr>
          <w:sz w:val="28"/>
          <w:szCs w:val="28"/>
          <w:lang w:val="nl"/>
        </w:rPr>
        <w:t xml:space="preserve">nvesteringsfondsen </w:t>
      </w:r>
      <w:r w:rsidR="007440A8">
        <w:rPr>
          <w:sz w:val="28"/>
          <w:szCs w:val="28"/>
          <w:lang w:val="nl"/>
        </w:rPr>
        <w:t xml:space="preserve">(ESI) </w:t>
      </w:r>
      <w:r w:rsidRPr="001D7810">
        <w:rPr>
          <w:sz w:val="28"/>
          <w:szCs w:val="28"/>
          <w:lang w:val="nl"/>
        </w:rPr>
        <w:t>te versterken", om "ervoor te zorgen dat deze strikt worden gebruikt voor de ontwikkeling van ondersteunende diensten voor personen met een handicap in lokale gemeenschappen en niet voor de herontwikkeling of uitbreiding van instellingen".</w:t>
      </w:r>
      <w:r w:rsidR="00EF4C6C" w:rsidRPr="001D7810">
        <w:rPr>
          <w:rStyle w:val="Voetnootmarkering"/>
          <w:sz w:val="28"/>
          <w:szCs w:val="28"/>
          <w:lang w:val="nl"/>
        </w:rPr>
        <w:footnoteReference w:id="12"/>
      </w:r>
    </w:p>
    <w:p w14:paraId="199A0E03" w14:textId="77777777" w:rsidR="00EF4C6C" w:rsidRPr="009D1CB6" w:rsidRDefault="00EF4C6C" w:rsidP="00EF4C6C">
      <w:pPr>
        <w:spacing w:line="276" w:lineRule="auto"/>
        <w:jc w:val="both"/>
        <w:rPr>
          <w:rFonts w:ascii="Arial" w:hAnsi="Arial" w:cs="Arial"/>
          <w:sz w:val="28"/>
          <w:szCs w:val="28"/>
          <w:lang w:val="nl-BE"/>
        </w:rPr>
      </w:pPr>
    </w:p>
    <w:p w14:paraId="461857FD" w14:textId="367E1F55" w:rsidR="00EF4C6C" w:rsidRPr="009D1CB6" w:rsidRDefault="00EF4C6C" w:rsidP="00EF4C6C">
      <w:pPr>
        <w:spacing w:line="276" w:lineRule="auto"/>
        <w:jc w:val="both"/>
        <w:rPr>
          <w:rFonts w:ascii="Arial" w:hAnsi="Arial" w:cs="Arial"/>
          <w:sz w:val="28"/>
          <w:szCs w:val="28"/>
          <w:lang w:val="nl-BE"/>
        </w:rPr>
      </w:pPr>
      <w:r w:rsidRPr="001D7810">
        <w:rPr>
          <w:sz w:val="28"/>
          <w:szCs w:val="28"/>
          <w:lang w:val="nl"/>
        </w:rPr>
        <w:t xml:space="preserve">Uit </w:t>
      </w:r>
      <w:r w:rsidR="003D0DF4">
        <w:fldChar w:fldCharType="begin"/>
      </w:r>
      <w:r w:rsidR="003D0DF4" w:rsidRPr="009D1CB6">
        <w:rPr>
          <w:lang w:val="nl-BE"/>
        </w:rPr>
        <w:instrText xml:space="preserve"> HYPERLINK "https://socialeurope.eu/disability-eu-</w:instrText>
      </w:r>
      <w:r w:rsidR="003D0DF4" w:rsidRPr="009D1CB6">
        <w:rPr>
          <w:lang w:val="nl-BE"/>
        </w:rPr>
        <w:instrText xml:space="preserve">funding-of-institutions-barely-legal" </w:instrText>
      </w:r>
      <w:r w:rsidR="003D0DF4">
        <w:fldChar w:fldCharType="separate"/>
      </w:r>
      <w:r w:rsidRPr="001D7810">
        <w:rPr>
          <w:rStyle w:val="Hyperlink"/>
          <w:sz w:val="28"/>
          <w:szCs w:val="28"/>
          <w:lang w:val="nl"/>
        </w:rPr>
        <w:t>verschillende bronnen</w:t>
      </w:r>
      <w:r w:rsidR="003D0DF4">
        <w:rPr>
          <w:rStyle w:val="Hyperlink"/>
          <w:sz w:val="28"/>
          <w:szCs w:val="28"/>
          <w:lang w:val="nl"/>
        </w:rPr>
        <w:fldChar w:fldCharType="end"/>
      </w:r>
      <w:r>
        <w:rPr>
          <w:lang w:val="nl"/>
        </w:rPr>
        <w:t xml:space="preserve"> </w:t>
      </w:r>
      <w:hyperlink r:id="rId23" w:history="1">
        <w:r w:rsidRPr="001D7810">
          <w:rPr>
            <w:rStyle w:val="Hyperlink"/>
            <w:sz w:val="28"/>
            <w:szCs w:val="28"/>
            <w:lang w:val="nl"/>
          </w:rPr>
          <w:t>blijkt</w:t>
        </w:r>
      </w:hyperlink>
      <w:r w:rsidRPr="001D7810">
        <w:rPr>
          <w:sz w:val="28"/>
          <w:szCs w:val="28"/>
          <w:lang w:val="nl"/>
        </w:rPr>
        <w:t xml:space="preserve"> ruimschoots  dat de EU nog steeds </w:t>
      </w:r>
      <w:r w:rsidR="003D0DF4">
        <w:fldChar w:fldCharType="begin"/>
      </w:r>
      <w:r w:rsidR="003D0DF4" w:rsidRPr="009D1CB6">
        <w:rPr>
          <w:lang w:val="nl-BE"/>
        </w:rPr>
        <w:instrText xml:space="preserve"> HYPERLINK "https://www.ombudsman.europa.eu/en/decision/en/155</w:instrText>
      </w:r>
      <w:r w:rsidR="003D0DF4" w:rsidRPr="009D1CB6">
        <w:rPr>
          <w:lang w:val="nl-BE"/>
        </w:rPr>
        <w:instrText xml:space="preserve">353" </w:instrText>
      </w:r>
      <w:r w:rsidR="003D0DF4">
        <w:fldChar w:fldCharType="separate"/>
      </w:r>
      <w:r w:rsidRPr="001D7810">
        <w:rPr>
          <w:rStyle w:val="Hyperlink"/>
          <w:sz w:val="28"/>
          <w:szCs w:val="28"/>
          <w:lang w:val="nl"/>
        </w:rPr>
        <w:t>aanzienlijke financiële middelen</w:t>
      </w:r>
      <w:r w:rsidR="003D0DF4">
        <w:rPr>
          <w:rStyle w:val="Hyperlink"/>
          <w:sz w:val="28"/>
          <w:szCs w:val="28"/>
          <w:lang w:val="nl"/>
        </w:rPr>
        <w:fldChar w:fldCharType="end"/>
      </w:r>
      <w:r w:rsidRPr="001D7810">
        <w:rPr>
          <w:sz w:val="28"/>
          <w:szCs w:val="28"/>
          <w:lang w:val="nl"/>
        </w:rPr>
        <w:t xml:space="preserve"> in instellingen investeert. Dergelijke investeringen vertragen de uitbreiding van gemeenschapsgerichte diensten voor </w:t>
      </w:r>
      <w:r w:rsidR="00AE0012">
        <w:rPr>
          <w:sz w:val="28"/>
          <w:szCs w:val="28"/>
          <w:lang w:val="nl"/>
        </w:rPr>
        <w:t>personen met een handicap</w:t>
      </w:r>
      <w:r w:rsidRPr="001D7810">
        <w:rPr>
          <w:sz w:val="28"/>
          <w:szCs w:val="28"/>
          <w:lang w:val="nl"/>
        </w:rPr>
        <w:t xml:space="preserve"> door instellingen in stand te houden. In een verslag van de Europese Ombudsman van april 2022 werd geconcludeerd dat "de Commissie stappen zou kunnen ondernemen om het toezicht op door de ESI gefinancierde activiteiten te verbeteren, en dat zij een meer proactieve aanpak van handhaving zou moeten volgen". Volgens de Ombudsman moet de Commissie ingrijpen als zij </w:t>
      </w:r>
      <w:r w:rsidRPr="001D7810">
        <w:rPr>
          <w:sz w:val="28"/>
          <w:szCs w:val="28"/>
          <w:lang w:val="nl"/>
        </w:rPr>
        <w:lastRenderedPageBreak/>
        <w:t xml:space="preserve">constateert dat een project niet voldoet aan het </w:t>
      </w:r>
      <w:r w:rsidR="003F76F3">
        <w:rPr>
          <w:sz w:val="28"/>
          <w:szCs w:val="28"/>
          <w:lang w:val="nl"/>
        </w:rPr>
        <w:t>VRPH</w:t>
      </w:r>
      <w:r w:rsidRPr="001D7810">
        <w:rPr>
          <w:sz w:val="28"/>
          <w:szCs w:val="28"/>
          <w:lang w:val="nl"/>
        </w:rPr>
        <w:t xml:space="preserve"> en de </w:t>
      </w:r>
      <w:r w:rsidR="00BB1413">
        <w:rPr>
          <w:sz w:val="28"/>
          <w:szCs w:val="28"/>
          <w:lang w:val="nl"/>
        </w:rPr>
        <w:t>regelgeving</w:t>
      </w:r>
      <w:r w:rsidRPr="001D7810">
        <w:rPr>
          <w:sz w:val="28"/>
          <w:szCs w:val="28"/>
          <w:lang w:val="nl"/>
        </w:rPr>
        <w:t xml:space="preserve"> betreffende de EU-fondsen. Momenteel is de Europese Commissie niet bereid om</w:t>
      </w:r>
      <w:r w:rsidRPr="001D7810">
        <w:rPr>
          <w:rStyle w:val="Voetnootmarkering"/>
          <w:sz w:val="28"/>
          <w:szCs w:val="28"/>
          <w:lang w:val="nl"/>
        </w:rPr>
        <w:footnoteReference w:id="13"/>
      </w:r>
      <w:hyperlink r:id="rId24" w:history="1">
        <w:r w:rsidRPr="001D7810">
          <w:rPr>
            <w:rStyle w:val="Hyperlink"/>
            <w:sz w:val="28"/>
            <w:szCs w:val="28"/>
            <w:lang w:val="nl"/>
          </w:rPr>
          <w:t xml:space="preserve"> inbreukprocedures</w:t>
        </w:r>
      </w:hyperlink>
      <w:r>
        <w:rPr>
          <w:lang w:val="nl"/>
        </w:rPr>
        <w:t xml:space="preserve"> in te </w:t>
      </w:r>
      <w:r w:rsidR="002F4979" w:rsidRPr="001D7810">
        <w:rPr>
          <w:sz w:val="28"/>
          <w:szCs w:val="28"/>
          <w:lang w:val="nl"/>
        </w:rPr>
        <w:t xml:space="preserve"> leiden wanneer nieuwe instellingen worden gebouwd. De Ombudsman beval aan dat "de Commissie een meer proactieve benadering van de handhaving hanteert, onder meer via inbreukprocedures, met name wanneer bezorgdheid wordt geuit dat door de ESI gefinancierde activiteiten op gespannen voet staan met de verplichting om deïnstitutionalisering te bevorderen."</w:t>
      </w:r>
      <w:r w:rsidRPr="001D7810">
        <w:rPr>
          <w:rStyle w:val="Voetnootmarkering"/>
          <w:sz w:val="28"/>
          <w:szCs w:val="28"/>
          <w:lang w:val="nl"/>
        </w:rPr>
        <w:footnoteReference w:id="14"/>
      </w:r>
    </w:p>
    <w:p w14:paraId="2EF46904" w14:textId="77777777" w:rsidR="00EF4C6C" w:rsidRPr="009D1CB6" w:rsidRDefault="00EF4C6C" w:rsidP="00EF4C6C">
      <w:pPr>
        <w:spacing w:line="276" w:lineRule="auto"/>
        <w:jc w:val="both"/>
        <w:rPr>
          <w:rFonts w:ascii="Arial" w:hAnsi="Arial" w:cs="Arial"/>
          <w:sz w:val="28"/>
          <w:szCs w:val="28"/>
          <w:lang w:val="nl-BE"/>
        </w:rPr>
      </w:pPr>
    </w:p>
    <w:p w14:paraId="716D8BB4" w14:textId="6AB22042" w:rsidR="00EF4C6C" w:rsidRPr="009D1CB6" w:rsidRDefault="00EF4C6C" w:rsidP="00EF4C6C">
      <w:pPr>
        <w:spacing w:line="276" w:lineRule="auto"/>
        <w:jc w:val="both"/>
        <w:rPr>
          <w:rFonts w:ascii="Arial" w:hAnsi="Arial" w:cs="Arial"/>
          <w:sz w:val="28"/>
          <w:szCs w:val="28"/>
          <w:lang w:val="nl-BE"/>
        </w:rPr>
      </w:pPr>
      <w:r w:rsidRPr="001D7810">
        <w:rPr>
          <w:sz w:val="28"/>
          <w:szCs w:val="28"/>
          <w:lang w:val="nl"/>
        </w:rPr>
        <w:t xml:space="preserve">Om ervoor te zorgen dat de EU-middelen volledig in overeenstemming met het UNCRPD worden gebruikt, bevelen wij het volgende aan: </w:t>
      </w:r>
    </w:p>
    <w:p w14:paraId="12955CA6" w14:textId="77777777" w:rsidR="00EF4C6C" w:rsidRPr="009D1CB6" w:rsidRDefault="00EF4C6C" w:rsidP="00EF4C6C">
      <w:pPr>
        <w:spacing w:line="276" w:lineRule="auto"/>
        <w:jc w:val="both"/>
        <w:rPr>
          <w:rFonts w:ascii="Arial" w:hAnsi="Arial" w:cs="Arial"/>
          <w:sz w:val="28"/>
          <w:szCs w:val="28"/>
          <w:lang w:val="nl-BE"/>
        </w:rPr>
      </w:pPr>
    </w:p>
    <w:p w14:paraId="07100148" w14:textId="1F84D380" w:rsidR="00EF4C6C" w:rsidRPr="009D1CB6" w:rsidRDefault="00EF4C6C" w:rsidP="00EF4C6C">
      <w:pPr>
        <w:pStyle w:val="Lijstalinea"/>
        <w:numPr>
          <w:ilvl w:val="0"/>
          <w:numId w:val="20"/>
        </w:numPr>
        <w:spacing w:line="276" w:lineRule="auto"/>
        <w:jc w:val="both"/>
        <w:rPr>
          <w:rFonts w:ascii="Arial" w:hAnsi="Arial" w:cs="Arial"/>
          <w:sz w:val="28"/>
          <w:szCs w:val="28"/>
          <w:lang w:val="nl-BE"/>
        </w:rPr>
      </w:pPr>
      <w:r w:rsidRPr="001D7810">
        <w:rPr>
          <w:sz w:val="28"/>
          <w:szCs w:val="28"/>
          <w:lang w:val="nl"/>
        </w:rPr>
        <w:t xml:space="preserve">De Europese Commissie moet alle instrumenten waarover zij beschikt gebruiken om het verbod op </w:t>
      </w:r>
      <w:r w:rsidR="00EB6598">
        <w:rPr>
          <w:sz w:val="28"/>
          <w:szCs w:val="28"/>
          <w:lang w:val="nl"/>
        </w:rPr>
        <w:t>i</w:t>
      </w:r>
      <w:r w:rsidR="00E2246F">
        <w:rPr>
          <w:sz w:val="28"/>
          <w:szCs w:val="28"/>
          <w:lang w:val="nl"/>
        </w:rPr>
        <w:t>nzetten</w:t>
      </w:r>
      <w:r w:rsidRPr="001D7810">
        <w:rPr>
          <w:sz w:val="28"/>
          <w:szCs w:val="28"/>
          <w:lang w:val="nl"/>
        </w:rPr>
        <w:t xml:space="preserve"> van EU-middelen in alle soorten institutionele omgevingen af te dwingen. Daartoe moet zij nauwlettend toezien op de nationale uitgavenplannen en alle vormen van uitgaven aan instellingen uit programma's op nationaal en Europees niveau schrappen. De Commissie moet ingrijpen en alle lopende projecten stopzetten die de deïnstitutionalisering niet bevorderen. We vragen de Europese Commissie om uitvoering te geven aan de volledige lijst van aanbevelingen die zijn opgesteld door de Europese Ombudsman en het Comité voor de rechten van personen met een handicap. </w:t>
      </w:r>
    </w:p>
    <w:p w14:paraId="0C0DEABF" w14:textId="45B2A440" w:rsidR="00EF4C6C" w:rsidRPr="009D1CB6" w:rsidRDefault="00EF4C6C" w:rsidP="00EF4C6C">
      <w:pPr>
        <w:pStyle w:val="Lijstalinea"/>
        <w:numPr>
          <w:ilvl w:val="0"/>
          <w:numId w:val="20"/>
        </w:numPr>
        <w:spacing w:line="276" w:lineRule="auto"/>
        <w:jc w:val="both"/>
        <w:rPr>
          <w:rFonts w:ascii="Arial" w:hAnsi="Arial" w:cs="Arial"/>
          <w:sz w:val="28"/>
          <w:szCs w:val="28"/>
          <w:lang w:val="nl-BE"/>
        </w:rPr>
      </w:pPr>
      <w:r w:rsidRPr="001D7810">
        <w:rPr>
          <w:sz w:val="28"/>
          <w:szCs w:val="28"/>
          <w:lang w:val="nl"/>
        </w:rPr>
        <w:t xml:space="preserve">De EU moet stoppen met alle investeringen in en betalingen aan instellingen. Daartoe moeten de </w:t>
      </w:r>
      <w:r w:rsidR="00BB1413">
        <w:rPr>
          <w:sz w:val="28"/>
          <w:szCs w:val="28"/>
          <w:lang w:val="nl"/>
        </w:rPr>
        <w:t>regelgeving</w:t>
      </w:r>
      <w:r w:rsidRPr="001D7810">
        <w:rPr>
          <w:sz w:val="28"/>
          <w:szCs w:val="28"/>
          <w:lang w:val="nl"/>
        </w:rPr>
        <w:t xml:space="preserve"> voor het gebruik van EU-middelen zodanig worden opgesteld dat een duidelijk verbod op uitgaven aan instellingen van elke omvang, met inbegrip van groepswoningen, wordt ingeperkt. Wij vragen het Europees Parlement om een initiatiefverslag op te stellen over de manier waarop dit kan worden bereikt. </w:t>
      </w:r>
    </w:p>
    <w:p w14:paraId="0CF34EB9" w14:textId="5527D2FC" w:rsidR="00EF4C6C" w:rsidRPr="009D1CB6" w:rsidRDefault="00EF4C6C" w:rsidP="00EF4C6C">
      <w:pPr>
        <w:pStyle w:val="Lijstalinea"/>
        <w:numPr>
          <w:ilvl w:val="0"/>
          <w:numId w:val="20"/>
        </w:numPr>
        <w:spacing w:line="276" w:lineRule="auto"/>
        <w:jc w:val="both"/>
        <w:rPr>
          <w:rFonts w:ascii="Arial" w:hAnsi="Arial" w:cs="Arial"/>
          <w:sz w:val="28"/>
          <w:szCs w:val="28"/>
          <w:lang w:val="nl-BE"/>
        </w:rPr>
      </w:pPr>
      <w:r w:rsidRPr="001D7810">
        <w:rPr>
          <w:sz w:val="28"/>
          <w:szCs w:val="28"/>
          <w:lang w:val="nl"/>
        </w:rPr>
        <w:t xml:space="preserve">De EU moet voldoende middelen ter beschikking stellen om gemeenschapsgerichte diensten en ondersteuning voor </w:t>
      </w:r>
      <w:r w:rsidR="004D75CA">
        <w:rPr>
          <w:sz w:val="28"/>
          <w:szCs w:val="28"/>
          <w:lang w:val="nl"/>
        </w:rPr>
        <w:t>personen met een handicap</w:t>
      </w:r>
      <w:r w:rsidR="00BC07BF">
        <w:rPr>
          <w:sz w:val="28"/>
          <w:szCs w:val="28"/>
          <w:lang w:val="nl"/>
        </w:rPr>
        <w:t xml:space="preserve"> </w:t>
      </w:r>
      <w:r w:rsidRPr="001D7810">
        <w:rPr>
          <w:sz w:val="28"/>
          <w:szCs w:val="28"/>
          <w:lang w:val="nl"/>
        </w:rPr>
        <w:t>te financieren en uit te breiden. E</w:t>
      </w:r>
      <w:r w:rsidR="00BC07BF">
        <w:rPr>
          <w:sz w:val="28"/>
          <w:szCs w:val="28"/>
          <w:lang w:val="nl"/>
        </w:rPr>
        <w:t>U</w:t>
      </w:r>
      <w:r w:rsidRPr="001D7810">
        <w:rPr>
          <w:sz w:val="28"/>
          <w:szCs w:val="28"/>
          <w:lang w:val="nl"/>
        </w:rPr>
        <w:t xml:space="preserve">-middelen moeten ook worden </w:t>
      </w:r>
      <w:r w:rsidRPr="001D7810">
        <w:rPr>
          <w:sz w:val="28"/>
          <w:szCs w:val="28"/>
          <w:lang w:val="nl"/>
        </w:rPr>
        <w:lastRenderedPageBreak/>
        <w:t>gebruikt om gemeenschapsgerichte diensten en huisvesting toegankelijk, betaalbaar en aanpasbaar te maken voor elke  persoon</w:t>
      </w:r>
      <w:r w:rsidR="00BC07BF">
        <w:rPr>
          <w:sz w:val="28"/>
          <w:szCs w:val="28"/>
          <w:lang w:val="nl"/>
        </w:rPr>
        <w:t xml:space="preserve"> met een handicap</w:t>
      </w:r>
      <w:r w:rsidRPr="001D7810">
        <w:rPr>
          <w:sz w:val="28"/>
          <w:szCs w:val="28"/>
          <w:lang w:val="nl"/>
        </w:rPr>
        <w:t xml:space="preserve">. </w:t>
      </w:r>
    </w:p>
    <w:p w14:paraId="75DE6C5B" w14:textId="77777777" w:rsidR="00EF4C6C" w:rsidRPr="009D1CB6" w:rsidRDefault="00EF4C6C" w:rsidP="00EF4C6C">
      <w:pPr>
        <w:spacing w:line="276" w:lineRule="auto"/>
        <w:contextualSpacing/>
        <w:jc w:val="both"/>
        <w:rPr>
          <w:rFonts w:ascii="Arial" w:hAnsi="Arial" w:cs="Arial"/>
          <w:sz w:val="28"/>
          <w:szCs w:val="28"/>
          <w:lang w:val="nl-BE"/>
        </w:rPr>
      </w:pPr>
    </w:p>
    <w:p w14:paraId="70EFDB5D" w14:textId="03FFE515" w:rsidR="00EF4C6C" w:rsidRPr="006055E1" w:rsidRDefault="004C453D" w:rsidP="00EF4C6C">
      <w:pPr>
        <w:pStyle w:val="Lijstalinea"/>
        <w:numPr>
          <w:ilvl w:val="0"/>
          <w:numId w:val="18"/>
        </w:numPr>
        <w:spacing w:line="276" w:lineRule="auto"/>
        <w:jc w:val="both"/>
        <w:rPr>
          <w:rFonts w:ascii="Arial" w:hAnsi="Arial" w:cs="Arial"/>
          <w:b/>
          <w:bCs/>
          <w:color w:val="4472C4" w:themeColor="accent1"/>
          <w:sz w:val="28"/>
          <w:szCs w:val="28"/>
          <w:lang w:val="nl-BE"/>
        </w:rPr>
      </w:pPr>
      <w:r>
        <w:rPr>
          <w:b/>
          <w:bCs/>
          <w:color w:val="4472C4" w:themeColor="accent1"/>
          <w:sz w:val="28"/>
          <w:szCs w:val="28"/>
          <w:lang w:val="nl"/>
        </w:rPr>
        <w:t>Verklein d</w:t>
      </w:r>
      <w:r w:rsidR="00EF4C6C" w:rsidRPr="001D7810">
        <w:rPr>
          <w:b/>
          <w:bCs/>
          <w:color w:val="4472C4" w:themeColor="accent1"/>
          <w:sz w:val="28"/>
          <w:szCs w:val="28"/>
          <w:lang w:val="nl"/>
        </w:rPr>
        <w:t xml:space="preserve">e </w:t>
      </w:r>
      <w:r w:rsidR="002D2C00">
        <w:rPr>
          <w:b/>
          <w:bCs/>
          <w:color w:val="4472C4" w:themeColor="accent1"/>
          <w:sz w:val="28"/>
          <w:szCs w:val="28"/>
          <w:lang w:val="nl"/>
        </w:rPr>
        <w:t>tewerkstellings</w:t>
      </w:r>
      <w:r w:rsidR="00257352">
        <w:rPr>
          <w:b/>
          <w:bCs/>
          <w:color w:val="4472C4" w:themeColor="accent1"/>
          <w:sz w:val="28"/>
          <w:szCs w:val="28"/>
          <w:lang w:val="nl"/>
        </w:rPr>
        <w:t xml:space="preserve">kloof </w:t>
      </w:r>
    </w:p>
    <w:p w14:paraId="3CBF65D0" w14:textId="77777777" w:rsidR="00EF4C6C" w:rsidRPr="006055E1" w:rsidRDefault="00EF4C6C" w:rsidP="00EF4C6C">
      <w:pPr>
        <w:spacing w:line="276" w:lineRule="auto"/>
        <w:jc w:val="both"/>
        <w:rPr>
          <w:rFonts w:ascii="Arial" w:hAnsi="Arial" w:cs="Arial"/>
          <w:b/>
          <w:bCs/>
          <w:sz w:val="28"/>
          <w:szCs w:val="28"/>
          <w:lang w:val="nl-BE"/>
        </w:rPr>
      </w:pPr>
    </w:p>
    <w:p w14:paraId="15B1AD1D" w14:textId="5F50BF9E" w:rsidR="00EF4C6C" w:rsidRPr="009D1CB6" w:rsidRDefault="00EF4C6C" w:rsidP="00EF4C6C">
      <w:pPr>
        <w:spacing w:line="276" w:lineRule="auto"/>
        <w:contextualSpacing/>
        <w:jc w:val="both"/>
        <w:rPr>
          <w:rFonts w:ascii="Arial" w:hAnsi="Arial" w:cs="Arial"/>
          <w:sz w:val="28"/>
          <w:szCs w:val="28"/>
          <w:lang w:val="nl-BE"/>
        </w:rPr>
      </w:pPr>
      <w:r w:rsidRPr="001D7810">
        <w:rPr>
          <w:sz w:val="28"/>
          <w:szCs w:val="28"/>
          <w:lang w:val="nl"/>
        </w:rPr>
        <w:t xml:space="preserve">Artikel 27 van het Verdrag van de </w:t>
      </w:r>
      <w:r w:rsidR="003D0DF4">
        <w:fldChar w:fldCharType="begin"/>
      </w:r>
      <w:r w:rsidR="003D0DF4" w:rsidRPr="009D1CB6">
        <w:rPr>
          <w:lang w:val="nl-BE"/>
        </w:rPr>
        <w:instrText xml:space="preserve"> HYPERLINK "https://www.un.org/development/desa/disabilities/convention-on-the-rights-of-persons-with-disabilities.html" \l "Fulltext" </w:instrText>
      </w:r>
      <w:r w:rsidR="003D0DF4">
        <w:fldChar w:fldCharType="separate"/>
      </w:r>
      <w:r w:rsidRPr="001D7810">
        <w:rPr>
          <w:rStyle w:val="Hyperlink"/>
          <w:sz w:val="28"/>
          <w:szCs w:val="28"/>
          <w:lang w:val="nl"/>
        </w:rPr>
        <w:t xml:space="preserve">Verenigde Naties inzake de </w:t>
      </w:r>
      <w:r w:rsidR="004C453D">
        <w:rPr>
          <w:rStyle w:val="Hyperlink"/>
          <w:sz w:val="28"/>
          <w:szCs w:val="28"/>
          <w:lang w:val="nl"/>
        </w:rPr>
        <w:t>R</w:t>
      </w:r>
      <w:r w:rsidRPr="001D7810">
        <w:rPr>
          <w:rStyle w:val="Hyperlink"/>
          <w:sz w:val="28"/>
          <w:szCs w:val="28"/>
          <w:lang w:val="nl"/>
        </w:rPr>
        <w:t xml:space="preserve">echten van </w:t>
      </w:r>
      <w:r w:rsidR="004C453D">
        <w:rPr>
          <w:rStyle w:val="Hyperlink"/>
          <w:sz w:val="28"/>
          <w:szCs w:val="28"/>
          <w:lang w:val="nl"/>
        </w:rPr>
        <w:t>P</w:t>
      </w:r>
      <w:r w:rsidRPr="001D7810">
        <w:rPr>
          <w:rStyle w:val="Hyperlink"/>
          <w:sz w:val="28"/>
          <w:szCs w:val="28"/>
          <w:lang w:val="nl"/>
        </w:rPr>
        <w:t xml:space="preserve">ersonen met een </w:t>
      </w:r>
      <w:r w:rsidR="004C453D">
        <w:rPr>
          <w:rStyle w:val="Hyperlink"/>
          <w:sz w:val="28"/>
          <w:szCs w:val="28"/>
          <w:lang w:val="nl"/>
        </w:rPr>
        <w:t>H</w:t>
      </w:r>
      <w:r w:rsidRPr="001D7810">
        <w:rPr>
          <w:rStyle w:val="Hyperlink"/>
          <w:sz w:val="28"/>
          <w:szCs w:val="28"/>
          <w:lang w:val="nl"/>
        </w:rPr>
        <w:t>andicap (</w:t>
      </w:r>
      <w:r w:rsidR="004C453D">
        <w:rPr>
          <w:rStyle w:val="Hyperlink"/>
          <w:sz w:val="28"/>
          <w:szCs w:val="28"/>
          <w:lang w:val="nl"/>
        </w:rPr>
        <w:t>VRPH</w:t>
      </w:r>
      <w:r w:rsidRPr="001D7810">
        <w:rPr>
          <w:rStyle w:val="Hyperlink"/>
          <w:sz w:val="28"/>
          <w:szCs w:val="28"/>
          <w:lang w:val="nl"/>
        </w:rPr>
        <w:t>)</w:t>
      </w:r>
      <w:r w:rsidR="003D0DF4">
        <w:rPr>
          <w:rStyle w:val="Hyperlink"/>
          <w:sz w:val="28"/>
          <w:szCs w:val="28"/>
          <w:lang w:val="nl"/>
        </w:rPr>
        <w:fldChar w:fldCharType="end"/>
      </w:r>
      <w:r w:rsidR="00565ADA" w:rsidRPr="001D7810">
        <w:rPr>
          <w:sz w:val="28"/>
          <w:szCs w:val="28"/>
          <w:lang w:val="nl"/>
        </w:rPr>
        <w:t xml:space="preserve"> zegt dat "de staten die partij zijn het recht van personen met een handicap erkennen om te werken, op voet van gelijkheid met anderen [...] De Staten die Partij zijn waarborgen en bevorderen het recht op werk." </w:t>
      </w:r>
    </w:p>
    <w:p w14:paraId="5C4AEF20" w14:textId="77777777" w:rsidR="00EF4C6C" w:rsidRPr="009D1CB6" w:rsidRDefault="00EF4C6C" w:rsidP="00EF4C6C">
      <w:pPr>
        <w:spacing w:line="276" w:lineRule="auto"/>
        <w:contextualSpacing/>
        <w:jc w:val="both"/>
        <w:rPr>
          <w:rFonts w:ascii="Arial" w:hAnsi="Arial" w:cs="Arial"/>
          <w:sz w:val="28"/>
          <w:szCs w:val="28"/>
          <w:lang w:val="nl-BE"/>
        </w:rPr>
      </w:pPr>
    </w:p>
    <w:p w14:paraId="41C4844E" w14:textId="7C3743EB" w:rsidR="00EF4C6C" w:rsidRPr="009D1CB6" w:rsidRDefault="00EF4C6C" w:rsidP="00EF4C6C">
      <w:pPr>
        <w:spacing w:line="276" w:lineRule="auto"/>
        <w:contextualSpacing/>
        <w:jc w:val="both"/>
        <w:rPr>
          <w:rFonts w:ascii="Arial" w:hAnsi="Arial" w:cs="Arial"/>
          <w:sz w:val="28"/>
          <w:szCs w:val="28"/>
          <w:lang w:val="nl-BE"/>
        </w:rPr>
      </w:pPr>
      <w:r w:rsidRPr="001D7810">
        <w:rPr>
          <w:sz w:val="28"/>
          <w:szCs w:val="28"/>
          <w:lang w:val="nl"/>
        </w:rPr>
        <w:t xml:space="preserve">Artikel 19 van het </w:t>
      </w:r>
      <w:r w:rsidR="004C453D">
        <w:rPr>
          <w:sz w:val="28"/>
          <w:szCs w:val="28"/>
          <w:lang w:val="nl"/>
        </w:rPr>
        <w:t>VRPH</w:t>
      </w:r>
      <w:r w:rsidRPr="001D7810">
        <w:rPr>
          <w:sz w:val="28"/>
          <w:szCs w:val="28"/>
          <w:lang w:val="nl"/>
        </w:rPr>
        <w:t xml:space="preserve"> erkent "</w:t>
      </w:r>
      <w:r w:rsidR="0024361B">
        <w:rPr>
          <w:sz w:val="28"/>
          <w:szCs w:val="28"/>
          <w:lang w:val="nl"/>
        </w:rPr>
        <w:t>het gelijke recht</w:t>
      </w:r>
      <w:r w:rsidRPr="001D7810">
        <w:rPr>
          <w:sz w:val="28"/>
          <w:szCs w:val="28"/>
          <w:lang w:val="nl"/>
        </w:rPr>
        <w:t xml:space="preserve"> van alle personen met een handicap om in de </w:t>
      </w:r>
      <w:r w:rsidR="0024361B">
        <w:rPr>
          <w:sz w:val="28"/>
          <w:szCs w:val="28"/>
          <w:lang w:val="nl"/>
        </w:rPr>
        <w:t>maatschappij</w:t>
      </w:r>
      <w:r w:rsidRPr="001D7810">
        <w:rPr>
          <w:sz w:val="28"/>
          <w:szCs w:val="28"/>
          <w:lang w:val="nl"/>
        </w:rPr>
        <w:t xml:space="preserve"> te leven, met </w:t>
      </w:r>
      <w:r w:rsidR="004C453D">
        <w:rPr>
          <w:sz w:val="28"/>
          <w:szCs w:val="28"/>
          <w:lang w:val="nl"/>
        </w:rPr>
        <w:t xml:space="preserve">dezelfde </w:t>
      </w:r>
      <w:r w:rsidRPr="001D7810">
        <w:rPr>
          <w:sz w:val="28"/>
          <w:szCs w:val="28"/>
          <w:lang w:val="nl"/>
        </w:rPr>
        <w:t>keuze</w:t>
      </w:r>
      <w:r w:rsidR="004C453D">
        <w:rPr>
          <w:sz w:val="28"/>
          <w:szCs w:val="28"/>
          <w:lang w:val="nl"/>
        </w:rPr>
        <w:t>mogelijkheden als</w:t>
      </w:r>
      <w:r w:rsidRPr="001D7810">
        <w:rPr>
          <w:sz w:val="28"/>
          <w:szCs w:val="28"/>
          <w:lang w:val="nl"/>
        </w:rPr>
        <w:t xml:space="preserve"> anderen, en neemt doeltreffende en passende maatregelen om het volledige genot van dit recht door personen met een handicap te vergemakkelijken". </w:t>
      </w:r>
    </w:p>
    <w:p w14:paraId="2B146A78" w14:textId="77777777" w:rsidR="00EF4C6C" w:rsidRPr="009D1CB6" w:rsidRDefault="00EF4C6C" w:rsidP="00EF4C6C">
      <w:pPr>
        <w:spacing w:line="276" w:lineRule="auto"/>
        <w:contextualSpacing/>
        <w:jc w:val="both"/>
        <w:rPr>
          <w:rFonts w:ascii="Arial" w:hAnsi="Arial" w:cs="Arial"/>
          <w:sz w:val="28"/>
          <w:szCs w:val="28"/>
          <w:lang w:val="nl-BE"/>
        </w:rPr>
      </w:pPr>
    </w:p>
    <w:p w14:paraId="49455808" w14:textId="04B8BDD0" w:rsidR="00EF4C6C" w:rsidRPr="009D1CB6" w:rsidRDefault="00EF4C6C" w:rsidP="00EF4C6C">
      <w:pPr>
        <w:spacing w:line="276" w:lineRule="auto"/>
        <w:contextualSpacing/>
        <w:jc w:val="both"/>
        <w:rPr>
          <w:rFonts w:ascii="Arial" w:hAnsi="Arial" w:cs="Arial"/>
          <w:sz w:val="28"/>
          <w:szCs w:val="28"/>
          <w:lang w:val="nl-BE"/>
        </w:rPr>
      </w:pPr>
      <w:r w:rsidRPr="001D7810">
        <w:rPr>
          <w:sz w:val="28"/>
          <w:szCs w:val="28"/>
          <w:lang w:val="nl"/>
        </w:rPr>
        <w:t xml:space="preserve">Volgens </w:t>
      </w:r>
      <w:hyperlink r:id="rId25" w:history="1">
        <w:r w:rsidRPr="001D7810">
          <w:rPr>
            <w:rStyle w:val="Hyperlink"/>
            <w:sz w:val="28"/>
            <w:szCs w:val="28"/>
            <w:lang w:val="nl"/>
          </w:rPr>
          <w:t>general comment no 5</w:t>
        </w:r>
      </w:hyperlink>
      <w:r w:rsidRPr="001D7810">
        <w:rPr>
          <w:sz w:val="28"/>
          <w:szCs w:val="28"/>
          <w:lang w:val="nl"/>
        </w:rPr>
        <w:t xml:space="preserve"> betekent zelfstandig wonen dat mensen met een handicap keuze en controle over hun leven uitoefenen. Het voegt eraan toe dat: "Persoonlijke autonomie en zelfbeschikking fundamenteel zijn voor onafhankelijk leven, inclusief toegang tot [...] fatsoenlijke werkgelegenheid".</w:t>
      </w:r>
    </w:p>
    <w:p w14:paraId="044F0DF7" w14:textId="77777777" w:rsidR="00EF4C6C" w:rsidRPr="009D1CB6" w:rsidRDefault="00EF4C6C" w:rsidP="00EF4C6C">
      <w:pPr>
        <w:spacing w:line="276" w:lineRule="auto"/>
        <w:contextualSpacing/>
        <w:jc w:val="both"/>
        <w:rPr>
          <w:rFonts w:ascii="Arial" w:hAnsi="Arial" w:cs="Arial"/>
          <w:sz w:val="28"/>
          <w:szCs w:val="28"/>
          <w:lang w:val="nl-BE"/>
        </w:rPr>
      </w:pPr>
    </w:p>
    <w:p w14:paraId="67D77526" w14:textId="3E122751" w:rsidR="00EF4C6C" w:rsidRPr="009D1CB6" w:rsidRDefault="00EF4C6C" w:rsidP="00EF4C6C">
      <w:pPr>
        <w:spacing w:line="276" w:lineRule="auto"/>
        <w:contextualSpacing/>
        <w:jc w:val="both"/>
        <w:rPr>
          <w:rFonts w:ascii="Arial" w:hAnsi="Arial" w:cs="Arial"/>
          <w:sz w:val="28"/>
          <w:szCs w:val="28"/>
          <w:lang w:val="nl-BE"/>
        </w:rPr>
      </w:pPr>
      <w:r w:rsidRPr="001D7810">
        <w:rPr>
          <w:sz w:val="28"/>
          <w:szCs w:val="28"/>
          <w:lang w:val="nl"/>
        </w:rPr>
        <w:t xml:space="preserve">Er is een grote </w:t>
      </w:r>
      <w:r w:rsidR="00070812">
        <w:rPr>
          <w:sz w:val="28"/>
          <w:szCs w:val="28"/>
          <w:lang w:val="nl"/>
        </w:rPr>
        <w:t>tewerkstellings</w:t>
      </w:r>
      <w:r w:rsidR="00070812" w:rsidRPr="001D7810">
        <w:rPr>
          <w:sz w:val="28"/>
          <w:szCs w:val="28"/>
          <w:lang w:val="nl"/>
        </w:rPr>
        <w:t xml:space="preserve">kloof </w:t>
      </w:r>
      <w:r w:rsidR="00656154">
        <w:rPr>
          <w:sz w:val="28"/>
          <w:szCs w:val="28"/>
          <w:lang w:val="nl"/>
        </w:rPr>
        <w:t>tussen personen met en zonder handicap</w:t>
      </w:r>
      <w:r w:rsidRPr="001D7810">
        <w:rPr>
          <w:sz w:val="28"/>
          <w:szCs w:val="28"/>
          <w:lang w:val="nl"/>
        </w:rPr>
        <w:t xml:space="preserve"> in alle EU-landen. </w:t>
      </w:r>
      <w:r w:rsidRPr="006055E1">
        <w:rPr>
          <w:sz w:val="28"/>
          <w:szCs w:val="28"/>
          <w:lang w:val="nl"/>
        </w:rPr>
        <w:t xml:space="preserve">Dit betekent dat </w:t>
      </w:r>
      <w:r w:rsidR="00C444AA" w:rsidRPr="006055E1">
        <w:rPr>
          <w:sz w:val="28"/>
          <w:szCs w:val="28"/>
          <w:lang w:val="nl"/>
        </w:rPr>
        <w:t>personen met een handicap</w:t>
      </w:r>
      <w:r w:rsidRPr="006055E1">
        <w:rPr>
          <w:sz w:val="28"/>
          <w:szCs w:val="28"/>
          <w:lang w:val="nl"/>
        </w:rPr>
        <w:t xml:space="preserve"> veel minder vaak </w:t>
      </w:r>
      <w:r w:rsidR="002D2C00" w:rsidRPr="006055E1">
        <w:rPr>
          <w:sz w:val="28"/>
          <w:szCs w:val="28"/>
          <w:lang w:val="nl"/>
        </w:rPr>
        <w:t>aan het werk</w:t>
      </w:r>
      <w:r w:rsidRPr="006055E1">
        <w:rPr>
          <w:sz w:val="28"/>
          <w:szCs w:val="28"/>
          <w:lang w:val="nl"/>
        </w:rPr>
        <w:t xml:space="preserve"> zijn dan </w:t>
      </w:r>
      <w:r w:rsidR="00656154" w:rsidRPr="006055E1">
        <w:rPr>
          <w:sz w:val="28"/>
          <w:szCs w:val="28"/>
          <w:lang w:val="nl"/>
        </w:rPr>
        <w:t>personen zonder handicap</w:t>
      </w:r>
      <w:r w:rsidRPr="006055E1">
        <w:rPr>
          <w:sz w:val="28"/>
          <w:szCs w:val="28"/>
          <w:lang w:val="nl"/>
        </w:rPr>
        <w:t>.</w:t>
      </w:r>
      <w:r w:rsidRPr="001D7810">
        <w:rPr>
          <w:sz w:val="28"/>
          <w:szCs w:val="28"/>
          <w:lang w:val="nl"/>
        </w:rPr>
        <w:t xml:space="preserve"> In de EU als geheel heeft 50,6% van de </w:t>
      </w:r>
      <w:r w:rsidR="00C444AA">
        <w:rPr>
          <w:sz w:val="28"/>
          <w:szCs w:val="28"/>
          <w:lang w:val="nl"/>
        </w:rPr>
        <w:t>personen met een handicap</w:t>
      </w:r>
      <w:r w:rsidRPr="001D7810">
        <w:rPr>
          <w:sz w:val="28"/>
          <w:szCs w:val="28"/>
          <w:lang w:val="nl"/>
        </w:rPr>
        <w:t xml:space="preserve"> een baan, tegenover 74,8% van de </w:t>
      </w:r>
      <w:r w:rsidR="00D41687">
        <w:rPr>
          <w:sz w:val="28"/>
          <w:szCs w:val="28"/>
          <w:lang w:val="nl"/>
        </w:rPr>
        <w:t xml:space="preserve">personen </w:t>
      </w:r>
      <w:r w:rsidR="00C444AA">
        <w:rPr>
          <w:sz w:val="28"/>
          <w:szCs w:val="28"/>
          <w:lang w:val="nl"/>
        </w:rPr>
        <w:t>zonder handicap</w:t>
      </w:r>
      <w:r w:rsidRPr="001D7810">
        <w:rPr>
          <w:sz w:val="28"/>
          <w:szCs w:val="28"/>
          <w:lang w:val="nl"/>
        </w:rPr>
        <w:t>. Voor mensen met bepaalde beperkingen kan de situatie nog erger zijn. Onder 30 miljoen blinden en slechtzienden is 75%</w:t>
      </w:r>
      <w:r w:rsidR="002D2C00">
        <w:rPr>
          <w:sz w:val="28"/>
          <w:szCs w:val="28"/>
          <w:lang w:val="nl"/>
        </w:rPr>
        <w:t xml:space="preserve"> niet aan het werk</w:t>
      </w:r>
      <w:r w:rsidRPr="001D7810">
        <w:rPr>
          <w:sz w:val="28"/>
          <w:szCs w:val="28"/>
          <w:lang w:val="nl"/>
        </w:rPr>
        <w:t xml:space="preserve">. Van de </w:t>
      </w:r>
      <w:r w:rsidR="002F3918">
        <w:rPr>
          <w:sz w:val="28"/>
          <w:szCs w:val="28"/>
          <w:lang w:val="nl"/>
        </w:rPr>
        <w:t>personen met een autismespectrumstoornis</w:t>
      </w:r>
      <w:r w:rsidRPr="001D7810">
        <w:rPr>
          <w:sz w:val="28"/>
          <w:szCs w:val="28"/>
          <w:lang w:val="nl"/>
        </w:rPr>
        <w:t xml:space="preserve"> heeft slechts 10% werk. Volgens de ENIL Independent Living Survey uit 2020 vindt 96% van de </w:t>
      </w:r>
      <w:r w:rsidR="00D41687">
        <w:rPr>
          <w:sz w:val="28"/>
          <w:szCs w:val="28"/>
          <w:lang w:val="nl"/>
        </w:rPr>
        <w:t>personen met een handicap</w:t>
      </w:r>
      <w:r w:rsidRPr="001D7810">
        <w:rPr>
          <w:sz w:val="28"/>
          <w:szCs w:val="28"/>
          <w:lang w:val="nl"/>
        </w:rPr>
        <w:t xml:space="preserve"> en hun organisaties dat de toegang tot de arbeidsmarkt ontoereikend is of verbetering behoeft.</w:t>
      </w:r>
      <w:r w:rsidRPr="001D7810">
        <w:rPr>
          <w:rStyle w:val="Voetnootmarkering"/>
          <w:sz w:val="28"/>
          <w:szCs w:val="28"/>
          <w:lang w:val="nl"/>
        </w:rPr>
        <w:footnoteReference w:id="15"/>
      </w:r>
    </w:p>
    <w:p w14:paraId="4FB62A64" w14:textId="77777777" w:rsidR="00EF4C6C" w:rsidRPr="009D1CB6" w:rsidRDefault="00EF4C6C" w:rsidP="00EF4C6C">
      <w:pPr>
        <w:spacing w:line="276" w:lineRule="auto"/>
        <w:contextualSpacing/>
        <w:jc w:val="both"/>
        <w:rPr>
          <w:rFonts w:ascii="Arial" w:hAnsi="Arial" w:cs="Arial"/>
          <w:sz w:val="28"/>
          <w:szCs w:val="28"/>
          <w:lang w:val="nl-BE"/>
        </w:rPr>
      </w:pPr>
    </w:p>
    <w:p w14:paraId="1A851446" w14:textId="4FB54762" w:rsidR="00EF4C6C" w:rsidRPr="009D1CB6" w:rsidRDefault="003D0DF4" w:rsidP="00EF4C6C">
      <w:pPr>
        <w:spacing w:line="276" w:lineRule="auto"/>
        <w:contextualSpacing/>
        <w:jc w:val="both"/>
        <w:rPr>
          <w:rFonts w:ascii="Arial" w:hAnsi="Arial" w:cs="Arial"/>
          <w:sz w:val="28"/>
          <w:szCs w:val="28"/>
          <w:lang w:val="nl-BE"/>
        </w:rPr>
      </w:pPr>
      <w:hyperlink r:id="rId26" w:history="1">
        <w:r w:rsidR="00EF4C6C" w:rsidRPr="001D7810">
          <w:rPr>
            <w:rStyle w:val="Hyperlink"/>
            <w:sz w:val="28"/>
            <w:szCs w:val="28"/>
            <w:lang w:val="nl"/>
          </w:rPr>
          <w:t>Empirisch bewijs bevestigt</w:t>
        </w:r>
      </w:hyperlink>
      <w:r w:rsidR="00EF4C6C" w:rsidRPr="001D7810">
        <w:rPr>
          <w:sz w:val="28"/>
          <w:szCs w:val="28"/>
          <w:lang w:val="nl"/>
        </w:rPr>
        <w:t xml:space="preserve"> dat sociale werkplaatsen geen goede overgangsmaatregel zijn naar regulier werk. Actief arbeidsmarktbeleid dat gebruik maakt </w:t>
      </w:r>
      <w:r w:rsidR="00EF4C6C" w:rsidRPr="001D7810">
        <w:rPr>
          <w:sz w:val="28"/>
          <w:szCs w:val="28"/>
          <w:lang w:val="nl"/>
        </w:rPr>
        <w:lastRenderedPageBreak/>
        <w:t xml:space="preserve">van beschermd werk vermindert in feite de kans van </w:t>
      </w:r>
      <w:r w:rsidR="002F3918">
        <w:rPr>
          <w:sz w:val="28"/>
          <w:szCs w:val="28"/>
          <w:lang w:val="nl"/>
        </w:rPr>
        <w:t>personen met een handicap</w:t>
      </w:r>
      <w:r w:rsidR="00EF4C6C" w:rsidRPr="001D7810">
        <w:rPr>
          <w:sz w:val="28"/>
          <w:szCs w:val="28"/>
          <w:lang w:val="nl"/>
        </w:rPr>
        <w:t xml:space="preserve"> om een baan te vinden op de open arbeidsmarkt. Ze vergroten dus de </w:t>
      </w:r>
      <w:r w:rsidR="00AE353D">
        <w:rPr>
          <w:sz w:val="28"/>
          <w:szCs w:val="28"/>
          <w:lang w:val="nl"/>
        </w:rPr>
        <w:t>tewerkstellings</w:t>
      </w:r>
      <w:r w:rsidR="00EF4C6C" w:rsidRPr="001D7810">
        <w:rPr>
          <w:sz w:val="28"/>
          <w:szCs w:val="28"/>
          <w:lang w:val="nl"/>
        </w:rPr>
        <w:t xml:space="preserve">kloof. Aan de andere kant vergroot een goede wetgeving inzake arbeidsbescherming de kansen van </w:t>
      </w:r>
      <w:r w:rsidR="002F3918">
        <w:rPr>
          <w:sz w:val="28"/>
          <w:szCs w:val="28"/>
          <w:lang w:val="nl"/>
        </w:rPr>
        <w:t>personen met e</w:t>
      </w:r>
      <w:r w:rsidR="003E54E0">
        <w:rPr>
          <w:sz w:val="28"/>
          <w:szCs w:val="28"/>
          <w:lang w:val="nl"/>
        </w:rPr>
        <w:t>en</w:t>
      </w:r>
      <w:r w:rsidR="002F3918">
        <w:rPr>
          <w:sz w:val="28"/>
          <w:szCs w:val="28"/>
          <w:lang w:val="nl"/>
        </w:rPr>
        <w:t xml:space="preserve"> handicap</w:t>
      </w:r>
      <w:r w:rsidR="00EF4C6C" w:rsidRPr="001D7810">
        <w:rPr>
          <w:sz w:val="28"/>
          <w:szCs w:val="28"/>
          <w:lang w:val="nl"/>
        </w:rPr>
        <w:t xml:space="preserve"> op werk.</w:t>
      </w:r>
      <w:r w:rsidR="00EF4C6C" w:rsidRPr="001D7810">
        <w:rPr>
          <w:rStyle w:val="Voetnootmarkering"/>
          <w:sz w:val="28"/>
          <w:szCs w:val="28"/>
          <w:lang w:val="nl"/>
        </w:rPr>
        <w:footnoteReference w:id="16"/>
      </w:r>
    </w:p>
    <w:p w14:paraId="7E678204" w14:textId="77777777" w:rsidR="00EF4C6C" w:rsidRPr="009D1CB6" w:rsidRDefault="00EF4C6C" w:rsidP="00EF4C6C">
      <w:pPr>
        <w:spacing w:line="276" w:lineRule="auto"/>
        <w:contextualSpacing/>
        <w:jc w:val="both"/>
        <w:rPr>
          <w:rFonts w:ascii="Arial" w:hAnsi="Arial" w:cs="Arial"/>
          <w:sz w:val="28"/>
          <w:szCs w:val="28"/>
          <w:lang w:val="nl-BE"/>
        </w:rPr>
      </w:pPr>
    </w:p>
    <w:p w14:paraId="2EDE0657" w14:textId="788068BE" w:rsidR="0074440F" w:rsidRPr="009D1CB6" w:rsidRDefault="0074440F" w:rsidP="0074440F">
      <w:pPr>
        <w:spacing w:line="276" w:lineRule="auto"/>
        <w:jc w:val="both"/>
        <w:rPr>
          <w:rFonts w:ascii="Arial" w:hAnsi="Arial" w:cs="Arial"/>
          <w:sz w:val="28"/>
          <w:szCs w:val="28"/>
          <w:lang w:val="nl-BE"/>
        </w:rPr>
      </w:pPr>
      <w:r w:rsidRPr="001D7810">
        <w:rPr>
          <w:sz w:val="28"/>
          <w:szCs w:val="28"/>
          <w:lang w:val="nl"/>
        </w:rPr>
        <w:t xml:space="preserve">Om de </w:t>
      </w:r>
      <w:r w:rsidR="00524119">
        <w:rPr>
          <w:sz w:val="28"/>
          <w:szCs w:val="28"/>
          <w:lang w:val="nl"/>
        </w:rPr>
        <w:t>tewerkstellings</w:t>
      </w:r>
      <w:r w:rsidRPr="001D7810">
        <w:rPr>
          <w:sz w:val="28"/>
          <w:szCs w:val="28"/>
          <w:lang w:val="nl"/>
        </w:rPr>
        <w:t xml:space="preserve">kloof te verkleinen, raden we het volgende aan: </w:t>
      </w:r>
    </w:p>
    <w:p w14:paraId="199901F9" w14:textId="77777777" w:rsidR="00EF4C6C" w:rsidRPr="009D1CB6" w:rsidRDefault="00EF4C6C" w:rsidP="00EF4C6C">
      <w:pPr>
        <w:spacing w:line="276" w:lineRule="auto"/>
        <w:contextualSpacing/>
        <w:jc w:val="both"/>
        <w:rPr>
          <w:rFonts w:ascii="Arial" w:hAnsi="Arial" w:cs="Arial"/>
          <w:sz w:val="28"/>
          <w:szCs w:val="28"/>
          <w:lang w:val="nl-BE"/>
        </w:rPr>
      </w:pPr>
    </w:p>
    <w:p w14:paraId="1DED777D" w14:textId="77777777" w:rsidR="00EF4C6C" w:rsidRPr="009D1CB6" w:rsidRDefault="00EF4C6C" w:rsidP="00EF4C6C">
      <w:pPr>
        <w:pStyle w:val="Lijstalinea"/>
        <w:numPr>
          <w:ilvl w:val="0"/>
          <w:numId w:val="22"/>
        </w:numPr>
        <w:spacing w:line="276" w:lineRule="auto"/>
        <w:jc w:val="both"/>
        <w:rPr>
          <w:rFonts w:ascii="Arial" w:hAnsi="Arial" w:cs="Arial"/>
          <w:sz w:val="28"/>
          <w:szCs w:val="28"/>
          <w:lang w:val="nl-BE"/>
        </w:rPr>
      </w:pPr>
      <w:r w:rsidRPr="001D7810">
        <w:rPr>
          <w:sz w:val="28"/>
          <w:szCs w:val="28"/>
          <w:lang w:val="nl"/>
        </w:rPr>
        <w:t xml:space="preserve">Stop met actief arbeidsmarktbeleid op basis van beschut werk. Beschutte werkplaatsen moeten worden gesloten en mogen niet in aanmerking komen voor EU-financiering. </w:t>
      </w:r>
    </w:p>
    <w:p w14:paraId="3A0DBB92" w14:textId="6FA12F23" w:rsidR="00EF4C6C" w:rsidRPr="009D1CB6" w:rsidRDefault="0095390B" w:rsidP="00EF4C6C">
      <w:pPr>
        <w:pStyle w:val="Lijstalinea"/>
        <w:numPr>
          <w:ilvl w:val="0"/>
          <w:numId w:val="22"/>
        </w:numPr>
        <w:spacing w:line="276" w:lineRule="auto"/>
        <w:jc w:val="both"/>
        <w:rPr>
          <w:rFonts w:ascii="Arial" w:hAnsi="Arial" w:cs="Arial"/>
          <w:sz w:val="28"/>
          <w:szCs w:val="28"/>
          <w:lang w:val="nl-BE"/>
        </w:rPr>
      </w:pPr>
      <w:r>
        <w:rPr>
          <w:sz w:val="28"/>
          <w:szCs w:val="28"/>
          <w:lang w:val="nl"/>
        </w:rPr>
        <w:t>Herzie d</w:t>
      </w:r>
      <w:r w:rsidR="00EF4C6C" w:rsidRPr="001D7810">
        <w:rPr>
          <w:sz w:val="28"/>
          <w:szCs w:val="28"/>
          <w:lang w:val="nl"/>
        </w:rPr>
        <w:t xml:space="preserve">e richtlijn gelijke behandeling in arbeid en beroep </w:t>
      </w:r>
      <w:r w:rsidR="002A3DA3">
        <w:rPr>
          <w:sz w:val="28"/>
          <w:szCs w:val="28"/>
          <w:lang w:val="nl"/>
        </w:rPr>
        <w:t xml:space="preserve">en breng ze  </w:t>
      </w:r>
      <w:r w:rsidR="00EF4C6C" w:rsidRPr="001D7810">
        <w:rPr>
          <w:sz w:val="28"/>
          <w:szCs w:val="28"/>
          <w:lang w:val="nl"/>
        </w:rPr>
        <w:t xml:space="preserve">in overeenstemming met het </w:t>
      </w:r>
      <w:r w:rsidR="002A3DA3">
        <w:rPr>
          <w:sz w:val="28"/>
          <w:szCs w:val="28"/>
          <w:lang w:val="nl"/>
        </w:rPr>
        <w:t>VRPH</w:t>
      </w:r>
      <w:r w:rsidR="00EF4C6C" w:rsidRPr="001D7810">
        <w:rPr>
          <w:sz w:val="28"/>
          <w:szCs w:val="28"/>
          <w:lang w:val="nl"/>
        </w:rPr>
        <w:t xml:space="preserve">. De </w:t>
      </w:r>
      <w:r w:rsidR="002A3DA3">
        <w:rPr>
          <w:sz w:val="28"/>
          <w:szCs w:val="28"/>
          <w:lang w:val="nl"/>
        </w:rPr>
        <w:t>R</w:t>
      </w:r>
      <w:r w:rsidR="00EF4C6C" w:rsidRPr="001D7810">
        <w:rPr>
          <w:sz w:val="28"/>
          <w:szCs w:val="28"/>
          <w:lang w:val="nl"/>
        </w:rPr>
        <w:t>ichtlijn moet bijvoorbeeld duidelijke definities en richt</w:t>
      </w:r>
      <w:r w:rsidR="002A3DA3">
        <w:rPr>
          <w:sz w:val="28"/>
          <w:szCs w:val="28"/>
          <w:lang w:val="nl"/>
        </w:rPr>
        <w:t>lijnen</w:t>
      </w:r>
      <w:r w:rsidR="00EF4C6C" w:rsidRPr="001D7810">
        <w:rPr>
          <w:sz w:val="28"/>
          <w:szCs w:val="28"/>
          <w:lang w:val="nl"/>
        </w:rPr>
        <w:t xml:space="preserve"> inzake directe en indirecte discriminatie </w:t>
      </w:r>
      <w:r w:rsidR="001461EF">
        <w:rPr>
          <w:sz w:val="28"/>
          <w:szCs w:val="28"/>
          <w:lang w:val="nl"/>
        </w:rPr>
        <w:t>en</w:t>
      </w:r>
      <w:r w:rsidR="00EF4C6C" w:rsidRPr="001D7810">
        <w:rPr>
          <w:sz w:val="28"/>
          <w:szCs w:val="28"/>
          <w:lang w:val="nl"/>
        </w:rPr>
        <w:t xml:space="preserve"> redelijke aanpassingen</w:t>
      </w:r>
      <w:r w:rsidR="001461EF">
        <w:rPr>
          <w:sz w:val="28"/>
          <w:szCs w:val="28"/>
          <w:lang w:val="nl"/>
        </w:rPr>
        <w:t xml:space="preserve"> bevatten</w:t>
      </w:r>
      <w:r w:rsidR="00EF4C6C" w:rsidRPr="001D7810">
        <w:rPr>
          <w:sz w:val="28"/>
          <w:szCs w:val="28"/>
          <w:lang w:val="nl"/>
        </w:rPr>
        <w:t xml:space="preserve">. </w:t>
      </w:r>
      <w:r w:rsidR="0074440F" w:rsidRPr="001D7810">
        <w:rPr>
          <w:rStyle w:val="Voetnootmarkering"/>
          <w:sz w:val="28"/>
          <w:szCs w:val="28"/>
          <w:lang w:val="nl"/>
        </w:rPr>
        <w:footnoteReference w:id="17"/>
      </w:r>
      <w:r w:rsidR="00EF4C6C" w:rsidRPr="001D7810">
        <w:rPr>
          <w:sz w:val="28"/>
          <w:szCs w:val="28"/>
          <w:lang w:val="nl"/>
        </w:rPr>
        <w:t xml:space="preserve">De nieuwe </w:t>
      </w:r>
      <w:r w:rsidR="001461EF">
        <w:rPr>
          <w:sz w:val="28"/>
          <w:szCs w:val="28"/>
          <w:lang w:val="nl"/>
        </w:rPr>
        <w:t>R</w:t>
      </w:r>
      <w:r w:rsidR="00EF4C6C" w:rsidRPr="001D7810">
        <w:rPr>
          <w:sz w:val="28"/>
          <w:szCs w:val="28"/>
          <w:lang w:val="nl"/>
        </w:rPr>
        <w:t>ichtlijn moet maatregelen specificeren in geval van niet-naleving en positieve-actiemaatregelen vereisen.</w:t>
      </w:r>
    </w:p>
    <w:p w14:paraId="3BE19C9E" w14:textId="6A770883" w:rsidR="00EF4C6C" w:rsidRPr="009D1CB6" w:rsidRDefault="00EF4C6C" w:rsidP="00EF4C6C">
      <w:pPr>
        <w:pStyle w:val="Lijstalinea"/>
        <w:numPr>
          <w:ilvl w:val="0"/>
          <w:numId w:val="22"/>
        </w:numPr>
        <w:spacing w:line="276" w:lineRule="auto"/>
        <w:jc w:val="both"/>
        <w:rPr>
          <w:rFonts w:ascii="Arial" w:hAnsi="Arial" w:cs="Arial"/>
          <w:sz w:val="28"/>
          <w:szCs w:val="28"/>
          <w:lang w:val="nl-BE"/>
        </w:rPr>
      </w:pPr>
      <w:r w:rsidRPr="001D7810">
        <w:rPr>
          <w:sz w:val="28"/>
          <w:szCs w:val="28"/>
          <w:lang w:val="nl"/>
        </w:rPr>
        <w:t xml:space="preserve">De Europese Commissie moet de </w:t>
      </w:r>
      <w:r w:rsidR="00677F19">
        <w:rPr>
          <w:sz w:val="28"/>
          <w:szCs w:val="28"/>
          <w:lang w:val="nl"/>
        </w:rPr>
        <w:t>uitvoering</w:t>
      </w:r>
      <w:r w:rsidRPr="001D7810">
        <w:rPr>
          <w:sz w:val="28"/>
          <w:szCs w:val="28"/>
          <w:lang w:val="nl"/>
        </w:rPr>
        <w:t xml:space="preserve">van de richtlijn gelijke behandeling in arbeid en beroep verbeteren door inbreukprocedures </w:t>
      </w:r>
      <w:r w:rsidR="007B6B55">
        <w:rPr>
          <w:sz w:val="28"/>
          <w:szCs w:val="28"/>
          <w:lang w:val="nl"/>
        </w:rPr>
        <w:t>op te starten</w:t>
      </w:r>
      <w:r w:rsidRPr="001D7810">
        <w:rPr>
          <w:sz w:val="28"/>
          <w:szCs w:val="28"/>
          <w:lang w:val="nl"/>
        </w:rPr>
        <w:t xml:space="preserve"> in geval van niet-naleving. Daarnaast moet de Europese Arbeidsautoriteit (ELA) samenwerken met de nationale arbeidsinspecties om ex-anteonderzoeken naar de </w:t>
      </w:r>
      <w:r w:rsidR="00717BC1">
        <w:rPr>
          <w:sz w:val="28"/>
          <w:szCs w:val="28"/>
          <w:lang w:val="nl"/>
        </w:rPr>
        <w:t>uitvoering</w:t>
      </w:r>
      <w:r w:rsidRPr="001D7810">
        <w:rPr>
          <w:sz w:val="28"/>
          <w:szCs w:val="28"/>
          <w:lang w:val="nl"/>
        </w:rPr>
        <w:t xml:space="preserve"> van de richtlijn aan te moedigen; of zij moet dergelijke inspecties zelf kunnen uitvoeren.</w:t>
      </w:r>
    </w:p>
    <w:p w14:paraId="5942254D" w14:textId="77777777" w:rsidR="00EF4C6C" w:rsidRPr="009D1CB6" w:rsidRDefault="00EF4C6C" w:rsidP="00EF4C6C">
      <w:pPr>
        <w:spacing w:line="276" w:lineRule="auto"/>
        <w:contextualSpacing/>
        <w:jc w:val="both"/>
        <w:rPr>
          <w:rFonts w:ascii="Arial" w:hAnsi="Arial" w:cs="Arial"/>
          <w:sz w:val="28"/>
          <w:szCs w:val="28"/>
          <w:lang w:val="nl-BE"/>
        </w:rPr>
      </w:pPr>
    </w:p>
    <w:p w14:paraId="3AF5CE9C" w14:textId="77777777" w:rsidR="001D7810" w:rsidRDefault="001D7810" w:rsidP="00EF4C6C">
      <w:pPr>
        <w:spacing w:line="276" w:lineRule="auto"/>
        <w:contextualSpacing/>
        <w:jc w:val="both"/>
        <w:rPr>
          <w:rFonts w:ascii="Arial" w:hAnsi="Arial" w:cs="Arial"/>
          <w:sz w:val="28"/>
          <w:szCs w:val="28"/>
          <w:lang w:val="nl-BE"/>
        </w:rPr>
      </w:pPr>
    </w:p>
    <w:p w14:paraId="595C16BB" w14:textId="77777777" w:rsidR="006055E1" w:rsidRDefault="006055E1" w:rsidP="00EF4C6C">
      <w:pPr>
        <w:spacing w:line="276" w:lineRule="auto"/>
        <w:contextualSpacing/>
        <w:jc w:val="both"/>
        <w:rPr>
          <w:rFonts w:ascii="Arial" w:hAnsi="Arial" w:cs="Arial"/>
          <w:sz w:val="28"/>
          <w:szCs w:val="28"/>
          <w:lang w:val="nl-BE"/>
        </w:rPr>
      </w:pPr>
    </w:p>
    <w:p w14:paraId="1D57AA92" w14:textId="77777777" w:rsidR="006055E1" w:rsidRDefault="006055E1" w:rsidP="00EF4C6C">
      <w:pPr>
        <w:spacing w:line="276" w:lineRule="auto"/>
        <w:contextualSpacing/>
        <w:jc w:val="both"/>
        <w:rPr>
          <w:rFonts w:ascii="Arial" w:hAnsi="Arial" w:cs="Arial"/>
          <w:sz w:val="28"/>
          <w:szCs w:val="28"/>
          <w:lang w:val="nl-BE"/>
        </w:rPr>
      </w:pPr>
    </w:p>
    <w:p w14:paraId="349C6DFC" w14:textId="77777777" w:rsidR="006055E1" w:rsidRDefault="006055E1" w:rsidP="00EF4C6C">
      <w:pPr>
        <w:spacing w:line="276" w:lineRule="auto"/>
        <w:contextualSpacing/>
        <w:jc w:val="both"/>
        <w:rPr>
          <w:rFonts w:ascii="Arial" w:hAnsi="Arial" w:cs="Arial"/>
          <w:sz w:val="28"/>
          <w:szCs w:val="28"/>
          <w:lang w:val="nl-BE"/>
        </w:rPr>
      </w:pPr>
    </w:p>
    <w:p w14:paraId="1AA1ED79" w14:textId="77777777" w:rsidR="006055E1" w:rsidRDefault="006055E1" w:rsidP="00EF4C6C">
      <w:pPr>
        <w:spacing w:line="276" w:lineRule="auto"/>
        <w:contextualSpacing/>
        <w:jc w:val="both"/>
        <w:rPr>
          <w:rFonts w:ascii="Arial" w:hAnsi="Arial" w:cs="Arial"/>
          <w:sz w:val="28"/>
          <w:szCs w:val="28"/>
          <w:lang w:val="nl-BE"/>
        </w:rPr>
      </w:pPr>
    </w:p>
    <w:p w14:paraId="517DE4D3" w14:textId="77777777" w:rsidR="006055E1" w:rsidRDefault="006055E1" w:rsidP="00EF4C6C">
      <w:pPr>
        <w:spacing w:line="276" w:lineRule="auto"/>
        <w:contextualSpacing/>
        <w:jc w:val="both"/>
        <w:rPr>
          <w:rFonts w:ascii="Arial" w:hAnsi="Arial" w:cs="Arial"/>
          <w:sz w:val="28"/>
          <w:szCs w:val="28"/>
          <w:lang w:val="nl-BE"/>
        </w:rPr>
      </w:pPr>
    </w:p>
    <w:p w14:paraId="1B7D23E2" w14:textId="77777777" w:rsidR="006055E1" w:rsidRDefault="006055E1" w:rsidP="00EF4C6C">
      <w:pPr>
        <w:spacing w:line="276" w:lineRule="auto"/>
        <w:contextualSpacing/>
        <w:jc w:val="both"/>
        <w:rPr>
          <w:rFonts w:ascii="Arial" w:hAnsi="Arial" w:cs="Arial"/>
          <w:sz w:val="28"/>
          <w:szCs w:val="28"/>
          <w:lang w:val="nl-BE"/>
        </w:rPr>
      </w:pPr>
    </w:p>
    <w:p w14:paraId="7971AA05" w14:textId="77777777" w:rsidR="006055E1" w:rsidRDefault="006055E1" w:rsidP="00EF4C6C">
      <w:pPr>
        <w:spacing w:line="276" w:lineRule="auto"/>
        <w:contextualSpacing/>
        <w:jc w:val="both"/>
        <w:rPr>
          <w:rFonts w:ascii="Arial" w:hAnsi="Arial" w:cs="Arial"/>
          <w:sz w:val="28"/>
          <w:szCs w:val="28"/>
          <w:lang w:val="nl-BE"/>
        </w:rPr>
      </w:pPr>
    </w:p>
    <w:p w14:paraId="15160283" w14:textId="77777777" w:rsidR="006055E1" w:rsidRDefault="006055E1" w:rsidP="00EF4C6C">
      <w:pPr>
        <w:spacing w:line="276" w:lineRule="auto"/>
        <w:contextualSpacing/>
        <w:jc w:val="both"/>
        <w:rPr>
          <w:rFonts w:ascii="Arial" w:hAnsi="Arial" w:cs="Arial"/>
          <w:sz w:val="28"/>
          <w:szCs w:val="28"/>
          <w:lang w:val="nl-BE"/>
        </w:rPr>
      </w:pPr>
    </w:p>
    <w:p w14:paraId="11EB05C9" w14:textId="77777777" w:rsidR="006055E1" w:rsidRPr="009D1CB6" w:rsidRDefault="006055E1" w:rsidP="00EF4C6C">
      <w:pPr>
        <w:spacing w:line="276" w:lineRule="auto"/>
        <w:contextualSpacing/>
        <w:jc w:val="both"/>
        <w:rPr>
          <w:rFonts w:ascii="Arial" w:hAnsi="Arial" w:cs="Arial"/>
          <w:sz w:val="28"/>
          <w:szCs w:val="28"/>
          <w:lang w:val="nl-BE"/>
        </w:rPr>
      </w:pPr>
    </w:p>
    <w:p w14:paraId="536F93F4" w14:textId="03041BC1" w:rsidR="00EF4C6C" w:rsidRPr="009D1CB6" w:rsidRDefault="00EF4C6C" w:rsidP="00EF4C6C">
      <w:pPr>
        <w:spacing w:line="276" w:lineRule="auto"/>
        <w:contextualSpacing/>
        <w:jc w:val="both"/>
        <w:rPr>
          <w:rFonts w:ascii="Arial" w:hAnsi="Arial" w:cs="Arial"/>
          <w:b/>
          <w:bCs/>
          <w:sz w:val="28"/>
          <w:szCs w:val="28"/>
          <w:lang w:val="nl-BE"/>
        </w:rPr>
      </w:pPr>
      <w:r w:rsidRPr="001D7810">
        <w:rPr>
          <w:b/>
          <w:bCs/>
          <w:sz w:val="28"/>
          <w:szCs w:val="28"/>
          <w:lang w:val="nl"/>
        </w:rPr>
        <w:lastRenderedPageBreak/>
        <w:t>Contactgegevens</w:t>
      </w:r>
    </w:p>
    <w:p w14:paraId="4FA96FDD" w14:textId="32354655" w:rsidR="001D7810" w:rsidRPr="009D1CB6" w:rsidRDefault="001D7810" w:rsidP="00EF4C6C">
      <w:pPr>
        <w:spacing w:line="276" w:lineRule="auto"/>
        <w:contextualSpacing/>
        <w:jc w:val="both"/>
        <w:rPr>
          <w:rFonts w:ascii="Arial" w:hAnsi="Arial" w:cs="Arial"/>
          <w:b/>
          <w:bCs/>
          <w:sz w:val="28"/>
          <w:szCs w:val="28"/>
          <w:lang w:val="nl-BE"/>
        </w:rPr>
      </w:pPr>
    </w:p>
    <w:p w14:paraId="38DB284B" w14:textId="77777777" w:rsidR="001D7810" w:rsidRPr="009D1CB6" w:rsidRDefault="001D7810" w:rsidP="001D7810">
      <w:pPr>
        <w:spacing w:line="276" w:lineRule="auto"/>
        <w:contextualSpacing/>
        <w:jc w:val="both"/>
        <w:rPr>
          <w:rFonts w:ascii="Arial" w:hAnsi="Arial" w:cs="Arial"/>
          <w:sz w:val="28"/>
          <w:szCs w:val="28"/>
          <w:lang w:val="nl-BE"/>
        </w:rPr>
      </w:pPr>
      <w:r w:rsidRPr="001D7810">
        <w:rPr>
          <w:sz w:val="28"/>
          <w:szCs w:val="28"/>
          <w:lang w:val="nl"/>
        </w:rPr>
        <w:t>Florian Sanden</w:t>
      </w:r>
    </w:p>
    <w:p w14:paraId="40D7FB94" w14:textId="4F5EDA75" w:rsidR="001D7810" w:rsidRPr="009D1CB6" w:rsidRDefault="001D7810" w:rsidP="00EF4C6C">
      <w:pPr>
        <w:spacing w:line="276" w:lineRule="auto"/>
        <w:contextualSpacing/>
        <w:jc w:val="both"/>
        <w:rPr>
          <w:rFonts w:ascii="Arial" w:hAnsi="Arial" w:cs="Arial"/>
          <w:sz w:val="28"/>
          <w:szCs w:val="28"/>
          <w:lang w:val="nl-BE"/>
        </w:rPr>
      </w:pPr>
      <w:r w:rsidRPr="001D7810">
        <w:rPr>
          <w:sz w:val="28"/>
          <w:szCs w:val="28"/>
          <w:lang w:val="nl"/>
        </w:rPr>
        <w:t xml:space="preserve">ENIL Beleidscoördinator, </w:t>
      </w:r>
      <w:hyperlink r:id="rId27" w:history="1">
        <w:r w:rsidRPr="001D7810">
          <w:rPr>
            <w:rStyle w:val="Hyperlink"/>
            <w:sz w:val="28"/>
            <w:szCs w:val="28"/>
            <w:lang w:val="nl"/>
          </w:rPr>
          <w:t>florian.sanden@enil.eu</w:t>
        </w:r>
      </w:hyperlink>
    </w:p>
    <w:p w14:paraId="7A8BDC57" w14:textId="77777777" w:rsidR="00EF4C6C" w:rsidRPr="009D1CB6" w:rsidRDefault="00EF4C6C" w:rsidP="00EF4C6C">
      <w:pPr>
        <w:spacing w:line="276" w:lineRule="auto"/>
        <w:contextualSpacing/>
        <w:jc w:val="both"/>
        <w:rPr>
          <w:rFonts w:ascii="Arial" w:hAnsi="Arial" w:cs="Arial"/>
          <w:sz w:val="28"/>
          <w:szCs w:val="28"/>
          <w:lang w:val="nl-BE"/>
        </w:rPr>
      </w:pPr>
    </w:p>
    <w:p w14:paraId="6290FA9A" w14:textId="6BAF1D04" w:rsidR="00EF4C6C" w:rsidRPr="001D7810" w:rsidRDefault="00EF4C6C" w:rsidP="00EF4C6C">
      <w:pPr>
        <w:spacing w:line="276" w:lineRule="auto"/>
        <w:contextualSpacing/>
        <w:rPr>
          <w:rFonts w:ascii="Arial" w:eastAsia="Times New Roman" w:hAnsi="Arial" w:cs="Arial"/>
          <w:color w:val="000000"/>
          <w:sz w:val="28"/>
          <w:szCs w:val="28"/>
          <w:lang w:eastAsia="en-GB"/>
        </w:rPr>
      </w:pPr>
      <w:r w:rsidRPr="009D1CB6">
        <w:rPr>
          <w:color w:val="000000"/>
          <w:sz w:val="28"/>
          <w:szCs w:val="28"/>
          <w:lang w:val="en-US"/>
        </w:rPr>
        <w:t xml:space="preserve">ENIL Brussels Office </w:t>
      </w:r>
      <w:proofErr w:type="spellStart"/>
      <w:r w:rsidRPr="009D1CB6">
        <w:rPr>
          <w:color w:val="000000"/>
          <w:sz w:val="28"/>
          <w:szCs w:val="28"/>
          <w:lang w:val="en-US"/>
        </w:rPr>
        <w:t>vzw</w:t>
      </w:r>
      <w:proofErr w:type="spellEnd"/>
      <w:r w:rsidRPr="009D1CB6">
        <w:rPr>
          <w:color w:val="000000"/>
          <w:sz w:val="28"/>
          <w:szCs w:val="28"/>
          <w:lang w:val="en-US"/>
        </w:rPr>
        <w:t>/</w:t>
      </w:r>
      <w:proofErr w:type="spellStart"/>
      <w:r w:rsidRPr="009D1CB6">
        <w:rPr>
          <w:color w:val="000000"/>
          <w:sz w:val="28"/>
          <w:szCs w:val="28"/>
          <w:lang w:val="en-US"/>
        </w:rPr>
        <w:t>asblMundo</w:t>
      </w:r>
      <w:proofErr w:type="spellEnd"/>
      <w:r w:rsidRPr="009D1CB6">
        <w:rPr>
          <w:color w:val="000000"/>
          <w:sz w:val="28"/>
          <w:szCs w:val="28"/>
          <w:lang w:val="en-US"/>
        </w:rPr>
        <w:t xml:space="preserve"> J - 6th Floor</w:t>
      </w:r>
      <w:r w:rsidR="006055E1">
        <w:rPr>
          <w:color w:val="000000"/>
          <w:sz w:val="28"/>
          <w:szCs w:val="28"/>
          <w:lang w:val="en-US"/>
        </w:rPr>
        <w:t xml:space="preserve">, </w:t>
      </w:r>
      <w:r w:rsidRPr="009D1CB6">
        <w:rPr>
          <w:color w:val="000000"/>
          <w:sz w:val="28"/>
          <w:szCs w:val="28"/>
          <w:lang w:val="en-US"/>
        </w:rPr>
        <w:t xml:space="preserve">Rue de </w:t>
      </w:r>
      <w:proofErr w:type="spellStart"/>
      <w:r w:rsidRPr="009D1CB6">
        <w:rPr>
          <w:color w:val="000000"/>
          <w:sz w:val="28"/>
          <w:szCs w:val="28"/>
          <w:lang w:val="en-US"/>
        </w:rPr>
        <w:t>l’Industrie</w:t>
      </w:r>
      <w:proofErr w:type="spellEnd"/>
      <w:r w:rsidRPr="009D1CB6">
        <w:rPr>
          <w:color w:val="000000"/>
          <w:sz w:val="28"/>
          <w:szCs w:val="28"/>
          <w:lang w:val="en-US"/>
        </w:rPr>
        <w:t xml:space="preserve"> 10</w:t>
      </w:r>
      <w:r w:rsidR="006055E1">
        <w:rPr>
          <w:color w:val="000000"/>
          <w:sz w:val="28"/>
          <w:szCs w:val="28"/>
          <w:lang w:val="en-US"/>
        </w:rPr>
        <w:t xml:space="preserve">, </w:t>
      </w:r>
      <w:r w:rsidRPr="009D1CB6">
        <w:rPr>
          <w:color w:val="000000"/>
          <w:sz w:val="28"/>
          <w:szCs w:val="28"/>
          <w:lang w:val="en-US"/>
        </w:rPr>
        <w:t>1000 Brussels</w:t>
      </w:r>
      <w:r w:rsidR="006055E1">
        <w:rPr>
          <w:color w:val="000000"/>
          <w:sz w:val="28"/>
          <w:szCs w:val="28"/>
          <w:lang w:val="en-US"/>
        </w:rPr>
        <w:t xml:space="preserve">, </w:t>
      </w:r>
      <w:r w:rsidRPr="009D1CB6">
        <w:rPr>
          <w:color w:val="000000"/>
          <w:sz w:val="28"/>
          <w:szCs w:val="28"/>
          <w:lang w:val="en-US"/>
        </w:rPr>
        <w:t>Belgium </w:t>
      </w:r>
      <w:r w:rsidRPr="009D1CB6">
        <w:rPr>
          <w:color w:val="000000"/>
          <w:sz w:val="28"/>
          <w:szCs w:val="28"/>
          <w:lang w:val="en-US"/>
        </w:rPr>
        <w:br/>
      </w:r>
    </w:p>
    <w:p w14:paraId="412DB846" w14:textId="0BB88963" w:rsidR="00EF4C6C" w:rsidRPr="001D7810" w:rsidRDefault="003D0DF4" w:rsidP="00EF4C6C">
      <w:pPr>
        <w:spacing w:line="276" w:lineRule="auto"/>
        <w:contextualSpacing/>
        <w:rPr>
          <w:rFonts w:ascii="Arial" w:eastAsia="Times New Roman" w:hAnsi="Arial" w:cs="Arial"/>
          <w:color w:val="000000"/>
          <w:sz w:val="28"/>
          <w:szCs w:val="28"/>
          <w:lang w:eastAsia="en-GB"/>
        </w:rPr>
      </w:pPr>
      <w:hyperlink r:id="rId28" w:history="1">
        <w:r w:rsidR="00EF4C6C" w:rsidRPr="009D1CB6">
          <w:rPr>
            <w:rStyle w:val="Hyperlink"/>
            <w:sz w:val="28"/>
            <w:szCs w:val="28"/>
          </w:rPr>
          <w:t xml:space="preserve">secretariat@enil.eu </w:t>
        </w:r>
      </w:hyperlink>
      <w:r w:rsidR="00EF4C6C" w:rsidRPr="009D1CB6">
        <w:rPr>
          <w:color w:val="000000"/>
          <w:sz w:val="28"/>
          <w:szCs w:val="28"/>
        </w:rPr>
        <w:br/>
      </w:r>
      <w:hyperlink r:id="rId29" w:history="1">
        <w:r w:rsidR="006055E1" w:rsidRPr="006055E1">
          <w:rPr>
            <w:rStyle w:val="Hyperlink"/>
          </w:rPr>
          <w:t>http://www.enil.eu</w:t>
        </w:r>
      </w:hyperlink>
      <w:r w:rsidR="006055E1">
        <w:t xml:space="preserve"> </w:t>
      </w:r>
      <w:hyperlink r:id="rId30" w:history="1"/>
    </w:p>
    <w:p w14:paraId="120337AA" w14:textId="77777777" w:rsidR="00EF4C6C" w:rsidRPr="001D7810" w:rsidRDefault="00EF4C6C" w:rsidP="00EF4C6C">
      <w:pPr>
        <w:spacing w:line="276" w:lineRule="auto"/>
        <w:contextualSpacing/>
        <w:rPr>
          <w:rFonts w:ascii="Arial" w:eastAsia="Times New Roman" w:hAnsi="Arial" w:cs="Arial"/>
          <w:color w:val="000000"/>
          <w:sz w:val="28"/>
          <w:szCs w:val="28"/>
          <w:lang w:eastAsia="en-GB"/>
        </w:rPr>
      </w:pPr>
    </w:p>
    <w:p w14:paraId="65CFE17D" w14:textId="29E14253" w:rsidR="001D7810" w:rsidRPr="009D1CB6" w:rsidRDefault="001D7810" w:rsidP="001D7810">
      <w:pPr>
        <w:spacing w:line="276" w:lineRule="auto"/>
        <w:contextualSpacing/>
        <w:rPr>
          <w:rFonts w:ascii="Arial" w:eastAsia="Times New Roman" w:hAnsi="Arial" w:cs="Arial"/>
          <w:i/>
          <w:iCs/>
          <w:color w:val="000000"/>
          <w:sz w:val="28"/>
          <w:szCs w:val="28"/>
          <w:lang w:val="nl-BE" w:eastAsia="en-GB"/>
        </w:rPr>
      </w:pPr>
      <w:r w:rsidRPr="001D7810">
        <w:rPr>
          <w:i/>
          <w:iCs/>
          <w:sz w:val="28"/>
          <w:szCs w:val="28"/>
          <w:lang w:val="nl"/>
        </w:rPr>
        <w:t>Medegefinancierd door de Europese Unie. Standpunten en meningen die worden geuit, zijn echter alleen die van de auteur(s) en weerspiegelen niet noodzakelijkerwijs die van de Europese Unie of de Europese Commissie. Noch de Europese Unie, noch de subsidieverlenende autoriteit kan hiervoor verantwoordelijk worden gehouden.</w:t>
      </w:r>
    </w:p>
    <w:p w14:paraId="1568ECFD" w14:textId="74EA8532" w:rsidR="003D72B0" w:rsidRPr="009D1CB6" w:rsidRDefault="003D72B0" w:rsidP="003D72B0">
      <w:pPr>
        <w:spacing w:line="276" w:lineRule="auto"/>
        <w:jc w:val="both"/>
        <w:rPr>
          <w:rFonts w:ascii="Arial" w:hAnsi="Arial" w:cs="Arial"/>
          <w:b/>
          <w:bCs/>
          <w:sz w:val="28"/>
          <w:szCs w:val="28"/>
          <w:lang w:val="nl-BE"/>
        </w:rPr>
      </w:pPr>
    </w:p>
    <w:sectPr w:rsidR="003D72B0" w:rsidRPr="009D1CB6" w:rsidSect="001D7810">
      <w:footerReference w:type="even" r:id="rId31"/>
      <w:footerReference w:type="default" r:id="rId32"/>
      <w:headerReference w:type="first" r:id="rId33"/>
      <w:pgSz w:w="11900" w:h="16840"/>
      <w:pgMar w:top="1440" w:right="1440" w:bottom="1440" w:left="1440" w:header="64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B97B0" w14:textId="77777777" w:rsidR="00626975" w:rsidRDefault="00626975" w:rsidP="00445075">
      <w:r>
        <w:rPr>
          <w:lang w:val="nl"/>
        </w:rPr>
        <w:separator/>
      </w:r>
    </w:p>
  </w:endnote>
  <w:endnote w:type="continuationSeparator" w:id="0">
    <w:p w14:paraId="26BF8FCD" w14:textId="77777777" w:rsidR="00626975" w:rsidRDefault="00626975" w:rsidP="00445075">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85490089"/>
      <w:docPartObj>
        <w:docPartGallery w:val="Page Numbers (Bottom of Page)"/>
        <w:docPartUnique/>
      </w:docPartObj>
    </w:sdtPr>
    <w:sdtEndPr>
      <w:rPr>
        <w:rStyle w:val="Paginanummer"/>
      </w:rPr>
    </w:sdtEndPr>
    <w:sdtContent>
      <w:p w14:paraId="5AAB34B4" w14:textId="7AF88293" w:rsidR="004D3ECF" w:rsidRDefault="004D3ECF" w:rsidP="007933C2">
        <w:pPr>
          <w:pStyle w:val="Voettekst"/>
          <w:framePr w:wrap="none" w:vAnchor="text" w:hAnchor="margin" w:xAlign="right" w:y="1"/>
          <w:rPr>
            <w:rStyle w:val="Paginanummer"/>
          </w:rPr>
        </w:pPr>
        <w:r>
          <w:rPr>
            <w:rStyle w:val="Paginanummer"/>
            <w:lang w:val="nl"/>
          </w:rPr>
          <w:fldChar w:fldCharType="begin"/>
        </w:r>
        <w:r>
          <w:rPr>
            <w:rStyle w:val="Paginanummer"/>
            <w:lang w:val="nl"/>
          </w:rPr>
          <w:instrText xml:space="preserve"> PAGE </w:instrText>
        </w:r>
        <w:r>
          <w:rPr>
            <w:rStyle w:val="Paginanummer"/>
            <w:lang w:val="nl"/>
          </w:rPr>
          <w:fldChar w:fldCharType="separate"/>
        </w:r>
        <w:r w:rsidR="00EF4C6C">
          <w:rPr>
            <w:rStyle w:val="Paginanummer"/>
            <w:noProof/>
            <w:lang w:val="nl"/>
          </w:rPr>
          <w:t>2</w:t>
        </w:r>
        <w:r>
          <w:rPr>
            <w:rStyle w:val="Paginanummer"/>
            <w:lang w:val="nl"/>
          </w:rPr>
          <w:fldChar w:fldCharType="end"/>
        </w:r>
      </w:p>
    </w:sdtContent>
  </w:sdt>
  <w:p w14:paraId="7511B6B4" w14:textId="77777777" w:rsidR="004D3ECF" w:rsidRDefault="004D3ECF" w:rsidP="004D3EC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040792"/>
      <w:docPartObj>
        <w:docPartGallery w:val="Page Numbers (Bottom of Page)"/>
        <w:docPartUnique/>
      </w:docPartObj>
    </w:sdtPr>
    <w:sdtEndPr/>
    <w:sdtContent>
      <w:sdt>
        <w:sdtPr>
          <w:id w:val="2115705753"/>
          <w:docPartObj>
            <w:docPartGallery w:val="Page Numbers (Top of Page)"/>
            <w:docPartUnique/>
          </w:docPartObj>
        </w:sdtPr>
        <w:sdtEndPr/>
        <w:sdtContent>
          <w:p w14:paraId="7E0002A3" w14:textId="77777777" w:rsidR="00CB5FB3" w:rsidRPr="006925DE" w:rsidRDefault="00CB5FB3">
            <w:pPr>
              <w:pStyle w:val="Voettekst"/>
              <w:jc w:val="center"/>
              <w:rPr>
                <w:rFonts w:ascii="Arial" w:hAnsi="Arial" w:cs="Arial"/>
                <w:sz w:val="22"/>
                <w:szCs w:val="22"/>
              </w:rPr>
            </w:pPr>
          </w:p>
          <w:p w14:paraId="2D1C140A" w14:textId="445B4F5A" w:rsidR="006925DE" w:rsidRDefault="006925DE">
            <w:pPr>
              <w:pStyle w:val="Voettekst"/>
              <w:jc w:val="center"/>
            </w:pPr>
            <w:r w:rsidRPr="006925DE">
              <w:rPr>
                <w:sz w:val="22"/>
                <w:szCs w:val="22"/>
                <w:lang w:val="nl"/>
              </w:rPr>
              <w:t xml:space="preserve">Bladzijde </w:t>
            </w:r>
            <w:r w:rsidRPr="006925DE">
              <w:rPr>
                <w:b/>
                <w:bCs/>
                <w:sz w:val="22"/>
                <w:szCs w:val="22"/>
                <w:lang w:val="nl"/>
              </w:rPr>
              <w:fldChar w:fldCharType="begin"/>
            </w:r>
            <w:r w:rsidRPr="006925DE">
              <w:rPr>
                <w:b/>
                <w:bCs/>
                <w:sz w:val="22"/>
                <w:szCs w:val="22"/>
                <w:lang w:val="nl"/>
              </w:rPr>
              <w:instrText xml:space="preserve"> PAGE </w:instrText>
            </w:r>
            <w:r w:rsidRPr="006925DE">
              <w:rPr>
                <w:b/>
                <w:bCs/>
                <w:sz w:val="22"/>
                <w:szCs w:val="22"/>
                <w:lang w:val="nl"/>
              </w:rPr>
              <w:fldChar w:fldCharType="separate"/>
            </w:r>
            <w:r w:rsidRPr="006925DE">
              <w:rPr>
                <w:b/>
                <w:bCs/>
                <w:noProof/>
                <w:sz w:val="22"/>
                <w:szCs w:val="22"/>
                <w:lang w:val="nl"/>
              </w:rPr>
              <w:t>2</w:t>
            </w:r>
            <w:r w:rsidRPr="006925DE">
              <w:rPr>
                <w:b/>
                <w:bCs/>
                <w:sz w:val="22"/>
                <w:szCs w:val="22"/>
                <w:lang w:val="nl"/>
              </w:rPr>
              <w:fldChar w:fldCharType="end"/>
            </w:r>
            <w:r w:rsidRPr="006925DE">
              <w:rPr>
                <w:sz w:val="22"/>
                <w:szCs w:val="22"/>
                <w:lang w:val="nl"/>
              </w:rPr>
              <w:t xml:space="preserve"> van </w:t>
            </w:r>
            <w:r w:rsidRPr="006925DE">
              <w:rPr>
                <w:b/>
                <w:bCs/>
                <w:sz w:val="22"/>
                <w:szCs w:val="22"/>
                <w:lang w:val="nl"/>
              </w:rPr>
              <w:fldChar w:fldCharType="begin"/>
            </w:r>
            <w:r w:rsidRPr="006925DE">
              <w:rPr>
                <w:b/>
                <w:bCs/>
                <w:sz w:val="22"/>
                <w:szCs w:val="22"/>
                <w:lang w:val="nl"/>
              </w:rPr>
              <w:instrText xml:space="preserve"> NUMPAGES  </w:instrText>
            </w:r>
            <w:r w:rsidRPr="006925DE">
              <w:rPr>
                <w:b/>
                <w:bCs/>
                <w:sz w:val="22"/>
                <w:szCs w:val="22"/>
                <w:lang w:val="nl"/>
              </w:rPr>
              <w:fldChar w:fldCharType="separate"/>
            </w:r>
            <w:r w:rsidRPr="006925DE">
              <w:rPr>
                <w:b/>
                <w:bCs/>
                <w:noProof/>
                <w:sz w:val="22"/>
                <w:szCs w:val="22"/>
                <w:lang w:val="nl"/>
              </w:rPr>
              <w:t>2</w:t>
            </w:r>
            <w:r w:rsidRPr="006925DE">
              <w:rPr>
                <w:b/>
                <w:bCs/>
                <w:sz w:val="22"/>
                <w:szCs w:val="22"/>
                <w:lang w:val="nl"/>
              </w:rPr>
              <w:fldChar w:fldCharType="end"/>
            </w:r>
          </w:p>
        </w:sdtContent>
      </w:sdt>
    </w:sdtContent>
  </w:sdt>
  <w:p w14:paraId="29399635" w14:textId="77777777" w:rsidR="004D3ECF" w:rsidRDefault="004D3ECF" w:rsidP="004D3EC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37C4" w14:textId="77777777" w:rsidR="00626975" w:rsidRDefault="00626975" w:rsidP="00445075">
      <w:r>
        <w:rPr>
          <w:lang w:val="nl"/>
        </w:rPr>
        <w:separator/>
      </w:r>
    </w:p>
  </w:footnote>
  <w:footnote w:type="continuationSeparator" w:id="0">
    <w:p w14:paraId="71F8C32F" w14:textId="77777777" w:rsidR="00626975" w:rsidRDefault="00626975" w:rsidP="00445075">
      <w:r>
        <w:rPr>
          <w:lang w:val="nl"/>
        </w:rPr>
        <w:continuationSeparator/>
      </w:r>
    </w:p>
  </w:footnote>
  <w:footnote w:id="1">
    <w:p w14:paraId="28E1DE03" w14:textId="05C1FE27" w:rsidR="002D2C00" w:rsidRPr="006055E1" w:rsidRDefault="002D2C00">
      <w:pPr>
        <w:pStyle w:val="Voetnoottekst"/>
        <w:rPr>
          <w:rFonts w:cstheme="minorHAnsi"/>
        </w:rPr>
      </w:pPr>
      <w:r w:rsidRPr="006055E1">
        <w:rPr>
          <w:rStyle w:val="Voetnootmarkering"/>
          <w:rFonts w:cstheme="minorHAnsi"/>
        </w:rPr>
        <w:footnoteRef/>
      </w:r>
      <w:r w:rsidRPr="006055E1">
        <w:rPr>
          <w:rFonts w:cstheme="minorHAnsi"/>
        </w:rPr>
        <w:t xml:space="preserve"> </w:t>
      </w:r>
      <w:proofErr w:type="spellStart"/>
      <w:r w:rsidR="00185822" w:rsidRPr="006055E1">
        <w:rPr>
          <w:rFonts w:cstheme="minorHAnsi"/>
        </w:rPr>
        <w:t>Oorspronkelijke</w:t>
      </w:r>
      <w:proofErr w:type="spellEnd"/>
      <w:r w:rsidR="00185822" w:rsidRPr="006055E1">
        <w:rPr>
          <w:rFonts w:cstheme="minorHAnsi"/>
        </w:rPr>
        <w:t xml:space="preserve"> </w:t>
      </w:r>
      <w:proofErr w:type="spellStart"/>
      <w:r w:rsidR="00185822" w:rsidRPr="006055E1">
        <w:rPr>
          <w:rFonts w:cstheme="minorHAnsi"/>
        </w:rPr>
        <w:t>tekst</w:t>
      </w:r>
      <w:proofErr w:type="spellEnd"/>
      <w:r w:rsidR="00185822" w:rsidRPr="006055E1">
        <w:rPr>
          <w:rFonts w:cstheme="minorHAnsi"/>
        </w:rPr>
        <w:t xml:space="preserve"> in </w:t>
      </w:r>
      <w:proofErr w:type="spellStart"/>
      <w:r w:rsidR="00185822" w:rsidRPr="006055E1">
        <w:rPr>
          <w:rFonts w:cstheme="minorHAnsi"/>
        </w:rPr>
        <w:t>het</w:t>
      </w:r>
      <w:proofErr w:type="spellEnd"/>
      <w:r w:rsidR="00185822" w:rsidRPr="006055E1">
        <w:rPr>
          <w:rFonts w:cstheme="minorHAnsi"/>
        </w:rPr>
        <w:t xml:space="preserve"> </w:t>
      </w:r>
      <w:r w:rsidR="006055E1" w:rsidRPr="006055E1">
        <w:rPr>
          <w:rFonts w:cstheme="minorHAnsi"/>
        </w:rPr>
        <w:t>E</w:t>
      </w:r>
      <w:r w:rsidR="00185822" w:rsidRPr="006055E1">
        <w:rPr>
          <w:rFonts w:cstheme="minorHAnsi"/>
        </w:rPr>
        <w:t>ngels</w:t>
      </w:r>
      <w:r w:rsidR="006055E1" w:rsidRPr="006055E1">
        <w:rPr>
          <w:rFonts w:cstheme="minorHAnsi"/>
        </w:rPr>
        <w:t xml:space="preserve">. Te </w:t>
      </w:r>
      <w:proofErr w:type="spellStart"/>
      <w:r w:rsidR="006055E1" w:rsidRPr="006055E1">
        <w:rPr>
          <w:rFonts w:cstheme="minorHAnsi"/>
        </w:rPr>
        <w:t>consulteren</w:t>
      </w:r>
      <w:proofErr w:type="spellEnd"/>
      <w:r w:rsidR="006055E1" w:rsidRPr="006055E1">
        <w:rPr>
          <w:rFonts w:cstheme="minorHAnsi"/>
        </w:rPr>
        <w:t xml:space="preserve"> </w:t>
      </w:r>
      <w:proofErr w:type="spellStart"/>
      <w:r w:rsidR="00185822" w:rsidRPr="006055E1">
        <w:rPr>
          <w:rFonts w:cstheme="minorHAnsi"/>
        </w:rPr>
        <w:t>op</w:t>
      </w:r>
      <w:proofErr w:type="spellEnd"/>
      <w:r w:rsidR="00185822" w:rsidRPr="006055E1">
        <w:rPr>
          <w:rFonts w:cstheme="minorHAnsi"/>
        </w:rPr>
        <w:t xml:space="preserve"> </w:t>
      </w:r>
      <w:hyperlink r:id="rId1" w:history="1">
        <w:r w:rsidR="00275658" w:rsidRPr="006055E1">
          <w:rPr>
            <w:rStyle w:val="Hyperlink"/>
            <w:rFonts w:cstheme="minorHAnsi"/>
          </w:rPr>
          <w:t>https://enil.eu/freedom-drive-2022/</w:t>
        </w:r>
        <w:r w:rsidR="00275658" w:rsidRPr="006055E1">
          <w:rPr>
            <w:rStyle w:val="Hyperlink"/>
            <w:rFonts w:cstheme="minorHAnsi"/>
          </w:rPr>
          <w:t xml:space="preserve"> </w:t>
        </w:r>
      </w:hyperlink>
      <w:r w:rsidR="00275658" w:rsidRPr="006055E1">
        <w:rPr>
          <w:rFonts w:cstheme="minorHAnsi"/>
        </w:rPr>
        <w:t xml:space="preserve"> . </w:t>
      </w:r>
      <w:proofErr w:type="spellStart"/>
      <w:r w:rsidR="006055E1" w:rsidRPr="006055E1">
        <w:rPr>
          <w:rFonts w:cstheme="minorHAnsi"/>
        </w:rPr>
        <w:t>Vertaling</w:t>
      </w:r>
      <w:proofErr w:type="spellEnd"/>
      <w:r w:rsidR="006055E1" w:rsidRPr="006055E1">
        <w:rPr>
          <w:rFonts w:cstheme="minorHAnsi"/>
        </w:rPr>
        <w:t xml:space="preserve"> </w:t>
      </w:r>
      <w:proofErr w:type="spellStart"/>
      <w:r w:rsidR="006055E1" w:rsidRPr="006055E1">
        <w:rPr>
          <w:rFonts w:cstheme="minorHAnsi"/>
        </w:rPr>
        <w:t>naar</w:t>
      </w:r>
      <w:proofErr w:type="spellEnd"/>
      <w:r w:rsidR="006055E1" w:rsidRPr="006055E1">
        <w:rPr>
          <w:rFonts w:cstheme="minorHAnsi"/>
        </w:rPr>
        <w:t xml:space="preserve"> </w:t>
      </w:r>
      <w:proofErr w:type="spellStart"/>
      <w:r w:rsidR="006055E1" w:rsidRPr="006055E1">
        <w:rPr>
          <w:rFonts w:cstheme="minorHAnsi"/>
        </w:rPr>
        <w:t>het</w:t>
      </w:r>
      <w:proofErr w:type="spellEnd"/>
      <w:r w:rsidR="006055E1" w:rsidRPr="006055E1">
        <w:rPr>
          <w:rFonts w:cstheme="minorHAnsi"/>
        </w:rPr>
        <w:t xml:space="preserve"> </w:t>
      </w:r>
      <w:proofErr w:type="spellStart"/>
      <w:r w:rsidR="006055E1" w:rsidRPr="006055E1">
        <w:rPr>
          <w:rFonts w:cstheme="minorHAnsi"/>
        </w:rPr>
        <w:t>Nederlands</w:t>
      </w:r>
      <w:proofErr w:type="spellEnd"/>
      <w:r w:rsidR="00185822" w:rsidRPr="006055E1">
        <w:rPr>
          <w:rFonts w:cstheme="minorHAnsi"/>
        </w:rPr>
        <w:t>: katrijn@gripvzw.be</w:t>
      </w:r>
    </w:p>
  </w:footnote>
  <w:footnote w:id="2">
    <w:p w14:paraId="506D26A8" w14:textId="77777777" w:rsidR="00EF4C6C" w:rsidRPr="00B76F6E" w:rsidRDefault="00EF4C6C" w:rsidP="00EF4C6C">
      <w:pPr>
        <w:pStyle w:val="Voetnoottekst"/>
        <w:contextualSpacing/>
        <w:rPr>
          <w:rFonts w:ascii="Arial" w:hAnsi="Arial" w:cs="Arial"/>
          <w:lang w:val="fr-BE"/>
        </w:rPr>
      </w:pPr>
      <w:r w:rsidRPr="00B76F6E">
        <w:rPr>
          <w:rStyle w:val="Voetnootmarkering"/>
          <w:lang w:val="nl"/>
        </w:rPr>
        <w:footnoteRef/>
      </w:r>
      <w:r w:rsidRPr="00B76F6E">
        <w:rPr>
          <w:lang w:val="nl"/>
        </w:rPr>
        <w:t xml:space="preserve"> </w:t>
      </w:r>
      <w:r w:rsidRPr="00B76F6E">
        <w:rPr>
          <w:lang w:val="nl"/>
        </w:rPr>
        <w:t xml:space="preserve">ENIL 2022b </w:t>
      </w:r>
      <w:r w:rsidR="003D0DF4">
        <w:fldChar w:fldCharType="begin"/>
      </w:r>
      <w:r w:rsidR="003D0DF4">
        <w:instrText xml:space="preserve"> HYPERLINK "https://enil.eu/wp-content/uploads/2022/06/Comparison-between-PA-and-CW_final_ENIL.docx" </w:instrText>
      </w:r>
      <w:r w:rsidR="003D0DF4">
        <w:fldChar w:fldCharType="separate"/>
      </w:r>
      <w:r w:rsidRPr="00B76F6E">
        <w:rPr>
          <w:rStyle w:val="Hyperlink"/>
          <w:lang w:val="nl"/>
        </w:rPr>
        <w:t>https://enil.eu/wp-content/uploads/2022/06/Comparison-between-PA-and-CW_final_ENIL.docx</w:t>
      </w:r>
      <w:r w:rsidR="003D0DF4">
        <w:rPr>
          <w:rStyle w:val="Hyperlink"/>
          <w:lang w:val="nl"/>
        </w:rPr>
        <w:fldChar w:fldCharType="end"/>
      </w:r>
      <w:r w:rsidRPr="00B76F6E">
        <w:rPr>
          <w:lang w:val="nl"/>
        </w:rPr>
        <w:t xml:space="preserve"> </w:t>
      </w:r>
    </w:p>
  </w:footnote>
  <w:footnote w:id="3">
    <w:p w14:paraId="0670E25C" w14:textId="77777777" w:rsidR="00EF4C6C" w:rsidRPr="00B76F6E" w:rsidRDefault="00EF4C6C" w:rsidP="00EF4C6C">
      <w:pPr>
        <w:pStyle w:val="Voetnoottekst"/>
        <w:contextualSpacing/>
        <w:rPr>
          <w:rFonts w:ascii="Arial" w:hAnsi="Arial" w:cs="Arial"/>
          <w:lang w:val="fr-BE"/>
        </w:rPr>
      </w:pPr>
      <w:r w:rsidRPr="00B76F6E">
        <w:rPr>
          <w:rStyle w:val="Voetnootmarkering"/>
          <w:lang w:val="nl"/>
        </w:rPr>
        <w:footnoteRef/>
      </w:r>
      <w:r w:rsidRPr="00B76F6E">
        <w:rPr>
          <w:lang w:val="nl"/>
        </w:rPr>
        <w:t xml:space="preserve"> ENIL 2020 </w:t>
      </w:r>
      <w:hyperlink r:id="rId2" w:history="1">
        <w:r w:rsidRPr="00B76F6E">
          <w:rPr>
            <w:rStyle w:val="Hyperlink"/>
            <w:lang w:val="nl"/>
          </w:rPr>
          <w:t>https://enil.eu/wp-content/uploads/2022/03/IL-Survey_Summary-report_Dec2020.pdf</w:t>
        </w:r>
      </w:hyperlink>
    </w:p>
  </w:footnote>
  <w:footnote w:id="4">
    <w:p w14:paraId="33A8A968" w14:textId="77777777" w:rsidR="00EF4C6C" w:rsidRPr="009D1CB6" w:rsidRDefault="00EF4C6C" w:rsidP="00EF4C6C">
      <w:pPr>
        <w:pStyle w:val="Voetnoottekst"/>
        <w:contextualSpacing/>
        <w:jc w:val="both"/>
        <w:rPr>
          <w:rFonts w:ascii="Arial" w:hAnsi="Arial" w:cs="Arial"/>
          <w:sz w:val="22"/>
          <w:szCs w:val="22"/>
          <w:lang w:val="fr-BE"/>
        </w:rPr>
      </w:pPr>
      <w:r w:rsidRPr="00B76F6E">
        <w:rPr>
          <w:rStyle w:val="Voetnootmarkering"/>
          <w:lang w:val="nl"/>
        </w:rPr>
        <w:footnoteRef/>
      </w:r>
      <w:r w:rsidRPr="009D1CB6">
        <w:rPr>
          <w:lang w:val="fr-BE"/>
        </w:rPr>
        <w:t xml:space="preserve"> </w:t>
      </w:r>
      <w:proofErr w:type="spellStart"/>
      <w:r w:rsidRPr="009D1CB6">
        <w:rPr>
          <w:lang w:val="fr-BE"/>
        </w:rPr>
        <w:t>Mladenov</w:t>
      </w:r>
      <w:proofErr w:type="spellEnd"/>
      <w:r w:rsidRPr="009D1CB6">
        <w:rPr>
          <w:lang w:val="fr-BE"/>
        </w:rPr>
        <w:t xml:space="preserve"> 2019 </w:t>
      </w:r>
      <w:hyperlink r:id="rId3" w:history="1">
        <w:r w:rsidRPr="009D1CB6">
          <w:rPr>
            <w:rStyle w:val="Hyperlink"/>
            <w:lang w:val="fr-BE"/>
          </w:rPr>
          <w:t>https://www.tandfonline.com/doi/full/10.1080/09687599.2019.1621740</w:t>
        </w:r>
      </w:hyperlink>
      <w:r w:rsidRPr="009D1CB6">
        <w:rPr>
          <w:sz w:val="22"/>
          <w:szCs w:val="22"/>
          <w:lang w:val="fr-BE"/>
        </w:rPr>
        <w:t xml:space="preserve"> </w:t>
      </w:r>
    </w:p>
  </w:footnote>
  <w:footnote w:id="5">
    <w:p w14:paraId="6877C748" w14:textId="77777777" w:rsidR="00EF4C6C" w:rsidRPr="009D1CB6" w:rsidRDefault="00EF4C6C" w:rsidP="00EF4C6C">
      <w:pPr>
        <w:pStyle w:val="Voetnoottekst"/>
        <w:contextualSpacing/>
        <w:rPr>
          <w:rFonts w:ascii="Arial" w:hAnsi="Arial" w:cs="Arial"/>
          <w:lang w:val="fr-BE"/>
        </w:rPr>
      </w:pPr>
      <w:r w:rsidRPr="00B76F6E">
        <w:rPr>
          <w:rStyle w:val="Voetnootmarkering"/>
          <w:lang w:val="nl"/>
        </w:rPr>
        <w:footnoteRef/>
      </w:r>
      <w:r w:rsidRPr="009D1CB6">
        <w:rPr>
          <w:lang w:val="fr-BE"/>
        </w:rPr>
        <w:t xml:space="preserve"> </w:t>
      </w:r>
      <w:proofErr w:type="spellStart"/>
      <w:r w:rsidRPr="009D1CB6">
        <w:rPr>
          <w:lang w:val="fr-BE"/>
        </w:rPr>
        <w:t>Zie</w:t>
      </w:r>
      <w:proofErr w:type="spellEnd"/>
      <w:r w:rsidRPr="009D1CB6">
        <w:rPr>
          <w:lang w:val="fr-BE"/>
        </w:rPr>
        <w:t xml:space="preserve"> UNCRPD, art. 19, </w:t>
      </w:r>
      <w:hyperlink r:id="rId4" w:history="1">
        <w:r w:rsidRPr="009D1CB6">
          <w:rPr>
            <w:rStyle w:val="Hyperlink"/>
            <w:lang w:val="fr-BE"/>
          </w:rPr>
          <w:t>https://www.un.org/development/desa/disabilities/convention-on-the-rights-of-persons-with-disabilities.html</w:t>
        </w:r>
      </w:hyperlink>
      <w:r w:rsidRPr="009D1CB6">
        <w:rPr>
          <w:lang w:val="fr-BE"/>
        </w:rPr>
        <w:t xml:space="preserve"> </w:t>
      </w:r>
    </w:p>
  </w:footnote>
  <w:footnote w:id="6">
    <w:p w14:paraId="56250074" w14:textId="77777777" w:rsidR="00EF4C6C" w:rsidRPr="009D1CB6" w:rsidRDefault="00EF4C6C" w:rsidP="00EF4C6C">
      <w:pPr>
        <w:pStyle w:val="Voetnoottekst"/>
        <w:contextualSpacing/>
        <w:rPr>
          <w:rFonts w:ascii="Arial" w:hAnsi="Arial" w:cs="Arial"/>
          <w:lang w:val="nl-BE"/>
        </w:rPr>
      </w:pPr>
      <w:r w:rsidRPr="00B76F6E">
        <w:rPr>
          <w:rStyle w:val="Voetnootmarkering"/>
          <w:lang w:val="nl"/>
        </w:rPr>
        <w:footnoteRef/>
      </w:r>
      <w:r w:rsidRPr="00B76F6E">
        <w:rPr>
          <w:lang w:val="nl"/>
        </w:rPr>
        <w:t xml:space="preserve"> Zie algemene opmerking nr. 5, </w:t>
      </w:r>
      <w:hyperlink r:id="rId5" w:history="1">
        <w:r w:rsidRPr="00B76F6E">
          <w:rPr>
            <w:rStyle w:val="Hyperlink"/>
            <w:lang w:val="nl"/>
          </w:rPr>
          <w:t>https://www.ohchr.org/en/documents/general-comments-and-recommendations/general-comment-no5-article-19-right-live</w:t>
        </w:r>
      </w:hyperlink>
      <w:r w:rsidRPr="00B76F6E">
        <w:rPr>
          <w:lang w:val="nl"/>
        </w:rPr>
        <w:t xml:space="preserve"> </w:t>
      </w:r>
    </w:p>
  </w:footnote>
  <w:footnote w:id="7">
    <w:p w14:paraId="648F402C" w14:textId="77777777" w:rsidR="00EF4C6C" w:rsidRPr="00B76F6E" w:rsidRDefault="00EF4C6C" w:rsidP="00EF4C6C">
      <w:pPr>
        <w:pStyle w:val="Voetnoottekst"/>
        <w:contextualSpacing/>
        <w:rPr>
          <w:rFonts w:ascii="Arial" w:hAnsi="Arial" w:cs="Arial"/>
          <w:lang w:val="en-GB"/>
        </w:rPr>
      </w:pPr>
      <w:r w:rsidRPr="00B76F6E">
        <w:rPr>
          <w:rStyle w:val="Voetnootmarkering"/>
          <w:lang w:val="nl"/>
        </w:rPr>
        <w:footnoteRef/>
      </w:r>
      <w:r w:rsidRPr="009D1CB6">
        <w:rPr>
          <w:lang w:val="en-US"/>
        </w:rPr>
        <w:t xml:space="preserve"> Comp. Beadle-Bruin &amp;Co. 2007, </w:t>
      </w:r>
      <w:hyperlink r:id="rId6" w:history="1">
        <w:r w:rsidRPr="009D1CB6">
          <w:rPr>
            <w:rStyle w:val="Hyperlink"/>
            <w:lang w:val="en-US"/>
          </w:rPr>
          <w:t>https://research.kent.ac.uk/tizard/2019/06/11/deinstitutionalisation-and-community-living-outcomes-and-costs/</w:t>
        </w:r>
      </w:hyperlink>
      <w:r w:rsidRPr="009D1CB6">
        <w:rPr>
          <w:lang w:val="en-US"/>
        </w:rPr>
        <w:t xml:space="preserve">en </w:t>
      </w:r>
      <w:proofErr w:type="spellStart"/>
      <w:r w:rsidRPr="009D1CB6">
        <w:rPr>
          <w:lang w:val="en-US"/>
        </w:rPr>
        <w:t>Siska</w:t>
      </w:r>
      <w:proofErr w:type="spellEnd"/>
      <w:r w:rsidRPr="009D1CB6">
        <w:rPr>
          <w:lang w:val="en-US"/>
        </w:rPr>
        <w:t xml:space="preserve"> &amp;co. 2020, </w:t>
      </w:r>
      <w:hyperlink r:id="rId7" w:history="1">
        <w:r w:rsidRPr="009D1CB6">
          <w:rPr>
            <w:rStyle w:val="Hyperlink"/>
            <w:lang w:val="en-US"/>
          </w:rPr>
          <w:t>https://deinstitutionalisationdotcom.files.wordpress.com/2020/05/eeg-di-report-2020-1.pdf</w:t>
        </w:r>
      </w:hyperlink>
      <w:r w:rsidRPr="009D1CB6">
        <w:rPr>
          <w:lang w:val="en-US"/>
        </w:rPr>
        <w:t xml:space="preserve"> </w:t>
      </w:r>
    </w:p>
  </w:footnote>
  <w:footnote w:id="8">
    <w:p w14:paraId="669DD69C" w14:textId="77777777" w:rsidR="00EF4C6C" w:rsidRPr="00B76F6E" w:rsidRDefault="00EF4C6C" w:rsidP="00EF4C6C">
      <w:pPr>
        <w:pStyle w:val="Voetnoottekst"/>
        <w:contextualSpacing/>
        <w:rPr>
          <w:rFonts w:ascii="Arial" w:hAnsi="Arial" w:cs="Arial"/>
          <w:lang w:val="fr-BE"/>
        </w:rPr>
      </w:pPr>
      <w:r w:rsidRPr="00B76F6E">
        <w:rPr>
          <w:rStyle w:val="Voetnootmarkering"/>
          <w:lang w:val="nl"/>
        </w:rPr>
        <w:footnoteRef/>
      </w:r>
      <w:r w:rsidRPr="00B76F6E">
        <w:rPr>
          <w:lang w:val="nl"/>
        </w:rPr>
        <w:t xml:space="preserve"> ENIL 2020 </w:t>
      </w:r>
      <w:hyperlink r:id="rId8" w:history="1">
        <w:r w:rsidRPr="00B76F6E">
          <w:rPr>
            <w:rStyle w:val="Hyperlink"/>
            <w:lang w:val="nl"/>
          </w:rPr>
          <w:t>https://enil.eu/wp-content/uploads/2022/03/IL-Survey_Summary-report_Dec2020.pdf</w:t>
        </w:r>
      </w:hyperlink>
      <w:r w:rsidRPr="00B76F6E">
        <w:rPr>
          <w:lang w:val="nl"/>
        </w:rPr>
        <w:t xml:space="preserve"> </w:t>
      </w:r>
    </w:p>
  </w:footnote>
  <w:footnote w:id="9">
    <w:p w14:paraId="503F1DD3" w14:textId="77777777" w:rsidR="00EF4C6C" w:rsidRPr="00B76F6E" w:rsidRDefault="00EF4C6C" w:rsidP="00EF4C6C">
      <w:pPr>
        <w:pStyle w:val="Voetnoottekst"/>
        <w:contextualSpacing/>
        <w:rPr>
          <w:rFonts w:ascii="Arial" w:hAnsi="Arial" w:cs="Arial"/>
          <w:sz w:val="22"/>
          <w:szCs w:val="22"/>
          <w:lang w:val="en-GB"/>
        </w:rPr>
      </w:pPr>
      <w:r w:rsidRPr="00B76F6E">
        <w:rPr>
          <w:rStyle w:val="Voetnootmarkering"/>
          <w:lang w:val="nl"/>
        </w:rPr>
        <w:footnoteRef/>
      </w:r>
      <w:r w:rsidRPr="009D1CB6">
        <w:rPr>
          <w:lang w:val="en-US"/>
        </w:rPr>
        <w:t xml:space="preserve"> Comp. </w:t>
      </w:r>
      <w:proofErr w:type="spellStart"/>
      <w:r w:rsidRPr="009D1CB6">
        <w:rPr>
          <w:lang w:val="en-US"/>
        </w:rPr>
        <w:t>Litouwen</w:t>
      </w:r>
      <w:proofErr w:type="spellEnd"/>
      <w:r w:rsidRPr="009D1CB6">
        <w:rPr>
          <w:lang w:val="en-US"/>
        </w:rPr>
        <w:t xml:space="preserve"> 2014, </w:t>
      </w:r>
      <w:hyperlink r:id="rId9" w:history="1">
        <w:r w:rsidRPr="009D1CB6">
          <w:rPr>
            <w:rStyle w:val="Hyperlink"/>
            <w:lang w:val="en-US"/>
          </w:rPr>
          <w:t>https://socmin.lrv.lt/uploads/socmin/documents/files/pdf/9950_a1-83order.pdf</w:t>
        </w:r>
      </w:hyperlink>
      <w:r w:rsidRPr="009D1CB6">
        <w:rPr>
          <w:lang w:val="en-US"/>
        </w:rPr>
        <w:t xml:space="preserve">, en </w:t>
      </w:r>
      <w:proofErr w:type="spellStart"/>
      <w:r w:rsidRPr="009D1CB6">
        <w:rPr>
          <w:lang w:val="en-US"/>
        </w:rPr>
        <w:t>Polen</w:t>
      </w:r>
      <w:proofErr w:type="spellEnd"/>
      <w:r w:rsidRPr="009D1CB6">
        <w:rPr>
          <w:lang w:val="en-US"/>
        </w:rPr>
        <w:t xml:space="preserve"> 2021, </w:t>
      </w:r>
      <w:hyperlink r:id="rId10" w:history="1">
        <w:r w:rsidRPr="009D1CB6">
          <w:rPr>
            <w:rStyle w:val="Hyperlink"/>
            <w:lang w:val="en-US"/>
          </w:rPr>
          <w:t>file:///C:/Users/flori/Downloads/Strategia_rozwoju_us%C5%82ug_spo%C5%82ecznych.pdf</w:t>
        </w:r>
      </w:hyperlink>
      <w:r w:rsidRPr="009D1CB6">
        <w:rPr>
          <w:lang w:val="en-US"/>
        </w:rPr>
        <w:t xml:space="preserve"> </w:t>
      </w:r>
    </w:p>
  </w:footnote>
  <w:footnote w:id="10">
    <w:p w14:paraId="32CC700A" w14:textId="35566C39" w:rsidR="000B7697" w:rsidRPr="009D1CB6" w:rsidRDefault="000B7697" w:rsidP="000B7697">
      <w:pPr>
        <w:pStyle w:val="Voetnoottekst"/>
        <w:rPr>
          <w:lang w:val="nl-BE"/>
        </w:rPr>
      </w:pPr>
      <w:r>
        <w:rPr>
          <w:rStyle w:val="Voetnootmarkering"/>
          <w:lang w:val="nl"/>
        </w:rPr>
        <w:footnoteRef/>
      </w:r>
      <w:r w:rsidRPr="00563673">
        <w:rPr>
          <w:lang w:val="nl"/>
        </w:rPr>
        <w:t xml:space="preserve"> </w:t>
      </w:r>
      <w:r>
        <w:rPr>
          <w:lang w:val="nl"/>
        </w:rPr>
        <w:t xml:space="preserve">CRPD-commissie 2022, </w:t>
      </w:r>
      <w:hyperlink r:id="rId11" w:history="1">
        <w:r w:rsidRPr="006055E1">
          <w:rPr>
            <w:rStyle w:val="Hyperlink"/>
            <w:lang w:val="nl"/>
          </w:rPr>
          <w:t>https://www.ohchr.org/en/treaty-bodies/crpd/regional-consultations-and-guidelines-deinstitutionalisation-article-19</w:t>
        </w:r>
      </w:hyperlink>
    </w:p>
  </w:footnote>
  <w:footnote w:id="11">
    <w:p w14:paraId="50470644" w14:textId="6DADDBFE" w:rsidR="00F12B60" w:rsidRPr="009D1CB6" w:rsidRDefault="00F12B60" w:rsidP="00F12B60">
      <w:pPr>
        <w:pStyle w:val="Voetnoottekst"/>
        <w:spacing w:after="0"/>
        <w:rPr>
          <w:lang w:val="nl-BE"/>
        </w:rPr>
      </w:pPr>
      <w:r>
        <w:rPr>
          <w:rStyle w:val="Voetnootmarkering"/>
          <w:lang w:val="nl"/>
        </w:rPr>
        <w:footnoteRef/>
      </w:r>
      <w:r>
        <w:rPr>
          <w:lang w:val="nl"/>
        </w:rPr>
        <w:t xml:space="preserve"> </w:t>
      </w:r>
      <w:r w:rsidRPr="00F12B60">
        <w:rPr>
          <w:lang w:val="nl"/>
        </w:rPr>
        <w:t>Verordening (EU)</w:t>
      </w:r>
      <w:r w:rsidRPr="00F12B60">
        <w:rPr>
          <w:rStyle w:val="markedcontent"/>
          <w:lang w:val="nl"/>
        </w:rPr>
        <w:t xml:space="preserve"> 2021/1060 van het Europees Parlement en de Raad van juni 2021 (verordening gemeenschappelijke bepalingen)</w:t>
      </w:r>
    </w:p>
  </w:footnote>
  <w:footnote w:id="12">
    <w:p w14:paraId="52756047" w14:textId="77777777" w:rsidR="00EF4C6C" w:rsidRPr="00B76F6E" w:rsidRDefault="00EF4C6C" w:rsidP="00EF4C6C">
      <w:pPr>
        <w:pStyle w:val="Voetnoottekst"/>
        <w:contextualSpacing/>
        <w:rPr>
          <w:rFonts w:ascii="Arial" w:hAnsi="Arial" w:cs="Arial"/>
          <w:lang w:val="de-DE"/>
        </w:rPr>
      </w:pPr>
      <w:r w:rsidRPr="00B76F6E">
        <w:rPr>
          <w:rStyle w:val="Voetnootmarkering"/>
          <w:lang w:val="nl"/>
        </w:rPr>
        <w:footnoteRef/>
      </w:r>
      <w:r w:rsidRPr="009D1CB6">
        <w:rPr>
          <w:lang w:val="en-US"/>
        </w:rPr>
        <w:t xml:space="preserve"> CRPD 2015 </w:t>
      </w:r>
      <w:hyperlink r:id="rId12" w:history="1">
        <w:r w:rsidRPr="009D1CB6">
          <w:rPr>
            <w:rStyle w:val="Hyperlink"/>
            <w:lang w:val="en-US"/>
          </w:rPr>
          <w:t>https://documents-dds-ny.un.org/doc/UNDOC/GEN/G15/226/55/PDF/G1522655.pdf?OpenElement</w:t>
        </w:r>
      </w:hyperlink>
      <w:r w:rsidRPr="009D1CB6">
        <w:rPr>
          <w:lang w:val="en-US"/>
        </w:rPr>
        <w:t xml:space="preserve"> </w:t>
      </w:r>
    </w:p>
  </w:footnote>
  <w:footnote w:id="13">
    <w:p w14:paraId="7BFB7322" w14:textId="77777777" w:rsidR="00EF4C6C" w:rsidRPr="009D1CB6" w:rsidRDefault="00EF4C6C" w:rsidP="00EF4C6C">
      <w:pPr>
        <w:pStyle w:val="Voetnoottekst"/>
        <w:contextualSpacing/>
        <w:rPr>
          <w:rFonts w:ascii="Arial" w:hAnsi="Arial" w:cs="Arial"/>
          <w:sz w:val="22"/>
          <w:szCs w:val="22"/>
          <w:lang w:val="nl-BE"/>
        </w:rPr>
      </w:pPr>
      <w:r w:rsidRPr="00B76F6E">
        <w:rPr>
          <w:rStyle w:val="Voetnootmarkering"/>
          <w:lang w:val="nl"/>
        </w:rPr>
        <w:footnoteRef/>
      </w:r>
      <w:r w:rsidRPr="009D1CB6">
        <w:rPr>
          <w:lang w:val="en-US"/>
        </w:rPr>
        <w:t xml:space="preserve"> Comp. </w:t>
      </w:r>
      <w:r w:rsidRPr="00B76F6E">
        <w:rPr>
          <w:lang w:val="nl"/>
        </w:rPr>
        <w:t xml:space="preserve">ENIL 2022a, </w:t>
      </w:r>
      <w:hyperlink r:id="rId13" w:history="1">
        <w:r w:rsidRPr="00B76F6E">
          <w:rPr>
            <w:rStyle w:val="Hyperlink"/>
            <w:lang w:val="nl"/>
          </w:rPr>
          <w:t>https://enil.eu/wp-content/uploads/2022/06/ENIL-UNCRPD-shadow-report.docx</w:t>
        </w:r>
      </w:hyperlink>
      <w:r w:rsidRPr="00B76F6E">
        <w:rPr>
          <w:lang w:val="nl"/>
        </w:rPr>
        <w:t xml:space="preserve">, Het Zand 2020, </w:t>
      </w:r>
      <w:hyperlink r:id="rId14" w:history="1">
        <w:r w:rsidRPr="00B76F6E">
          <w:rPr>
            <w:rStyle w:val="Hyperlink"/>
            <w:lang w:val="nl"/>
          </w:rPr>
          <w:t>https://socialeurope.eu/disability-eu-funding-of-institutions-barely-legal</w:t>
        </w:r>
      </w:hyperlink>
      <w:r w:rsidRPr="00B76F6E">
        <w:rPr>
          <w:lang w:val="nl"/>
        </w:rPr>
        <w:t xml:space="preserve">, en Europese Ombudsman 2022, </w:t>
      </w:r>
      <w:hyperlink r:id="rId15" w:history="1">
        <w:r w:rsidRPr="00B76F6E">
          <w:rPr>
            <w:rStyle w:val="Hyperlink"/>
            <w:lang w:val="nl"/>
          </w:rPr>
          <w:t>https://www.ombudsman.europa.eu/en/decision/en/155353</w:t>
        </w:r>
      </w:hyperlink>
      <w:r w:rsidRPr="00B76F6E">
        <w:rPr>
          <w:lang w:val="nl"/>
        </w:rPr>
        <w:t xml:space="preserve"> </w:t>
      </w:r>
    </w:p>
  </w:footnote>
  <w:footnote w:id="14">
    <w:p w14:paraId="787CDC67" w14:textId="77777777" w:rsidR="00EF4C6C" w:rsidRPr="009D1CB6" w:rsidRDefault="00EF4C6C" w:rsidP="00EF4C6C">
      <w:pPr>
        <w:pStyle w:val="Voetnoottekst"/>
        <w:contextualSpacing/>
        <w:rPr>
          <w:rFonts w:ascii="Arial" w:hAnsi="Arial" w:cs="Arial"/>
          <w:sz w:val="22"/>
          <w:szCs w:val="22"/>
          <w:lang w:val="nl-BE"/>
        </w:rPr>
      </w:pPr>
      <w:r w:rsidRPr="00B76F6E">
        <w:rPr>
          <w:rStyle w:val="Voetnootmarkering"/>
          <w:lang w:val="nl"/>
        </w:rPr>
        <w:footnoteRef/>
      </w:r>
      <w:r w:rsidRPr="00B76F6E">
        <w:rPr>
          <w:lang w:val="nl"/>
        </w:rPr>
        <w:t xml:space="preserve"> Europese Commissie 2017, </w:t>
      </w:r>
      <w:hyperlink r:id="rId16" w:history="1">
        <w:r w:rsidRPr="00B76F6E">
          <w:rPr>
            <w:rStyle w:val="Hyperlink"/>
            <w:lang w:val="nl"/>
          </w:rPr>
          <w:t>https://eur-lex.europa.eu/legal-content/EN/TXT/HTML/?uri=CELEX:52017XC0119(01)&amp;from=EN</w:t>
        </w:r>
      </w:hyperlink>
      <w:r w:rsidRPr="00B76F6E">
        <w:rPr>
          <w:lang w:val="nl"/>
        </w:rPr>
        <w:t xml:space="preserve"> </w:t>
      </w:r>
    </w:p>
  </w:footnote>
  <w:footnote w:id="15">
    <w:p w14:paraId="692061C3" w14:textId="77777777" w:rsidR="00EF4C6C" w:rsidRPr="009D1CB6" w:rsidRDefault="00EF4C6C" w:rsidP="00EF4C6C">
      <w:pPr>
        <w:pStyle w:val="Voetnoottekst"/>
        <w:contextualSpacing/>
        <w:jc w:val="both"/>
        <w:rPr>
          <w:rFonts w:ascii="Arial" w:hAnsi="Arial" w:cs="Arial"/>
          <w:lang w:val="nl-BE"/>
        </w:rPr>
      </w:pPr>
      <w:r w:rsidRPr="00B76F6E">
        <w:rPr>
          <w:rStyle w:val="Voetnootmarkering"/>
          <w:lang w:val="nl"/>
        </w:rPr>
        <w:footnoteRef/>
      </w:r>
      <w:r w:rsidRPr="00B76F6E">
        <w:rPr>
          <w:lang w:val="nl"/>
        </w:rPr>
        <w:t xml:space="preserve"> Langensiepen 2021 </w:t>
      </w:r>
      <w:hyperlink r:id="rId17" w:history="1">
        <w:r w:rsidRPr="00B76F6E">
          <w:rPr>
            <w:rStyle w:val="Hyperlink"/>
            <w:lang w:val="nl"/>
          </w:rPr>
          <w:t>https://www.europarl.europa.eu/doceo/document/A-9-2021-0014_EN.html</w:t>
        </w:r>
      </w:hyperlink>
      <w:r w:rsidRPr="00B76F6E">
        <w:rPr>
          <w:lang w:val="nl"/>
        </w:rPr>
        <w:t xml:space="preserve"> </w:t>
      </w:r>
    </w:p>
  </w:footnote>
  <w:footnote w:id="16">
    <w:p w14:paraId="1A5369E8" w14:textId="77777777" w:rsidR="00EF4C6C" w:rsidRPr="00B76F6E" w:rsidRDefault="00EF4C6C" w:rsidP="00EF4C6C">
      <w:pPr>
        <w:pStyle w:val="Voetnoottekst"/>
        <w:contextualSpacing/>
        <w:jc w:val="both"/>
        <w:rPr>
          <w:rFonts w:ascii="Arial" w:hAnsi="Arial" w:cs="Arial"/>
          <w:sz w:val="22"/>
          <w:szCs w:val="22"/>
          <w:lang w:val="en-GB"/>
        </w:rPr>
      </w:pPr>
      <w:r w:rsidRPr="00B76F6E">
        <w:rPr>
          <w:rStyle w:val="Voetnootmarkering"/>
          <w:lang w:val="nl"/>
        </w:rPr>
        <w:footnoteRef/>
      </w:r>
      <w:r w:rsidRPr="009D1CB6">
        <w:rPr>
          <w:lang w:val="en-US"/>
        </w:rPr>
        <w:t xml:space="preserve"> </w:t>
      </w:r>
      <w:proofErr w:type="spellStart"/>
      <w:r w:rsidRPr="009D1CB6">
        <w:rPr>
          <w:lang w:val="en-US"/>
        </w:rPr>
        <w:t>Zwan</w:t>
      </w:r>
      <w:proofErr w:type="spellEnd"/>
      <w:r w:rsidRPr="009D1CB6">
        <w:rPr>
          <w:lang w:val="en-US"/>
        </w:rPr>
        <w:t xml:space="preserve"> &amp;co. 2021, </w:t>
      </w:r>
      <w:hyperlink r:id="rId18" w:history="1">
        <w:r w:rsidRPr="009D1CB6">
          <w:rPr>
            <w:rStyle w:val="Hyperlink"/>
            <w:lang w:val="en-US"/>
          </w:rPr>
          <w:t>https://journals.sagepub.com/doi/full/10.1177/09589287211002435</w:t>
        </w:r>
      </w:hyperlink>
      <w:r w:rsidRPr="009D1CB6">
        <w:rPr>
          <w:lang w:val="en-US"/>
        </w:rPr>
        <w:t xml:space="preserve"> </w:t>
      </w:r>
    </w:p>
  </w:footnote>
  <w:footnote w:id="17">
    <w:p w14:paraId="521AE078" w14:textId="0B71C8D6" w:rsidR="0074440F" w:rsidRPr="0074440F" w:rsidRDefault="0074440F">
      <w:pPr>
        <w:pStyle w:val="Voetnoottekst"/>
        <w:rPr>
          <w:lang w:val="en-GB"/>
        </w:rPr>
      </w:pPr>
      <w:r>
        <w:rPr>
          <w:rStyle w:val="Voetnootmarkering"/>
          <w:lang w:val="nl"/>
        </w:rPr>
        <w:footnoteRef/>
      </w:r>
      <w:r>
        <w:rPr>
          <w:lang w:val="nl"/>
        </w:rPr>
        <w:t xml:space="preserve"> </w:t>
      </w:r>
      <w:r w:rsidRPr="0074440F">
        <w:rPr>
          <w:lang w:val="nl"/>
        </w:rPr>
        <w:t>Raad Richtlijn 200/78/EG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667C" w14:textId="009EBFEE" w:rsidR="00156169" w:rsidRDefault="00156169" w:rsidP="00156169">
    <w:pPr>
      <w:pStyle w:val="Koptekst"/>
      <w:jc w:val="right"/>
    </w:pPr>
  </w:p>
  <w:p w14:paraId="5E24734B" w14:textId="5F234ACA" w:rsidR="00156169" w:rsidRDefault="001D7810" w:rsidP="001D7810">
    <w:pPr>
      <w:pStyle w:val="Koptekst"/>
    </w:pPr>
    <w:r>
      <w:rPr>
        <w:noProof/>
        <w:lang w:val="nl"/>
      </w:rPr>
      <w:drawing>
        <wp:inline distT="0" distB="0" distL="0" distR="0" wp14:anchorId="09503ED6" wp14:editId="66875987">
          <wp:extent cx="10922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2200" cy="1168400"/>
                  </a:xfrm>
                  <a:prstGeom prst="rect">
                    <a:avLst/>
                  </a:prstGeom>
                </pic:spPr>
              </pic:pic>
            </a:graphicData>
          </a:graphic>
        </wp:inline>
      </w:drawing>
    </w:r>
    <w:r w:rsidRPr="001D7810">
      <w:rPr>
        <w:noProof/>
        <w:lang w:val="nl"/>
      </w:rPr>
      <w:t xml:space="preserve"> </w:t>
    </w:r>
    <w:r>
      <w:rPr>
        <w:noProof/>
        <w:lang w:val="nl"/>
      </w:rPr>
      <w:tab/>
    </w:r>
    <w:r>
      <w:rPr>
        <w:noProof/>
        <w:lang w:val="nl"/>
      </w:rPr>
      <w:tab/>
    </w:r>
    <w:r>
      <w:rPr>
        <w:noProof/>
        <w:lang w:val="nl"/>
      </w:rPr>
      <w:drawing>
        <wp:inline distT="0" distB="0" distL="0" distR="0" wp14:anchorId="17F48530" wp14:editId="1AA63E4F">
          <wp:extent cx="1156446" cy="106528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243365" cy="11453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9B1"/>
    <w:multiLevelType w:val="multilevel"/>
    <w:tmpl w:val="92EAA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6664B7"/>
    <w:multiLevelType w:val="hybridMultilevel"/>
    <w:tmpl w:val="ED1AB5FA"/>
    <w:lvl w:ilvl="0" w:tplc="62409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7635"/>
    <w:multiLevelType w:val="multilevel"/>
    <w:tmpl w:val="4ECAFFFA"/>
    <w:lvl w:ilvl="0">
      <w:start w:val="7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135D6"/>
    <w:multiLevelType w:val="hybridMultilevel"/>
    <w:tmpl w:val="71820C26"/>
    <w:lvl w:ilvl="0" w:tplc="58F071E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2E925BD"/>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CC72EB"/>
    <w:multiLevelType w:val="hybridMultilevel"/>
    <w:tmpl w:val="AC64EAF2"/>
    <w:lvl w:ilvl="0" w:tplc="D27EE6CC">
      <w:start w:val="1"/>
      <w:numFmt w:val="upperRoman"/>
      <w:lvlText w:val="%1."/>
      <w:lvlJc w:val="left"/>
      <w:pPr>
        <w:ind w:left="720" w:hanging="360"/>
      </w:pPr>
      <w:rPr>
        <w:rFonts w:ascii="Arial" w:eastAsiaTheme="minorHAnsi" w:hAnsi="Arial" w:cs="Arial"/>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A113DEC"/>
    <w:multiLevelType w:val="hybridMultilevel"/>
    <w:tmpl w:val="2B4A3A20"/>
    <w:lvl w:ilvl="0" w:tplc="849AA686">
      <w:start w:val="1"/>
      <w:numFmt w:val="upp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B3A2E61"/>
    <w:multiLevelType w:val="hybridMultilevel"/>
    <w:tmpl w:val="ECD67E72"/>
    <w:lvl w:ilvl="0" w:tplc="44F846EA">
      <w:start w:val="1"/>
      <w:numFmt w:val="upperRoman"/>
      <w:lvlText w:val="%1."/>
      <w:lvlJc w:val="left"/>
      <w:pPr>
        <w:ind w:left="720" w:hanging="360"/>
      </w:pPr>
      <w:rPr>
        <w:rFonts w:ascii="Arial" w:eastAsiaTheme="minorHAnsi" w:hAnsi="Arial" w:cs="Arial"/>
      </w:rPr>
    </w:lvl>
    <w:lvl w:ilvl="1" w:tplc="20000019">
      <w:start w:val="1"/>
      <w:numFmt w:val="lowerLetter"/>
      <w:lvlText w:val="%2."/>
      <w:lvlJc w:val="left"/>
      <w:pPr>
        <w:ind w:left="786" w:hanging="360"/>
      </w:pPr>
    </w:lvl>
    <w:lvl w:ilvl="2" w:tplc="2000001B">
      <w:start w:val="1"/>
      <w:numFmt w:val="lowerRoman"/>
      <w:lvlText w:val="%3."/>
      <w:lvlJc w:val="right"/>
      <w:pPr>
        <w:ind w:left="747"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BED113E"/>
    <w:multiLevelType w:val="hybridMultilevel"/>
    <w:tmpl w:val="3CD63626"/>
    <w:lvl w:ilvl="0" w:tplc="C844702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F2C1E73"/>
    <w:multiLevelType w:val="hybridMultilevel"/>
    <w:tmpl w:val="8BE6672C"/>
    <w:lvl w:ilvl="0" w:tplc="97FAD1D6">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292771C"/>
    <w:multiLevelType w:val="multilevel"/>
    <w:tmpl w:val="6A72070A"/>
    <w:lvl w:ilvl="0">
      <w:start w:val="5"/>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256257B0"/>
    <w:multiLevelType w:val="hybridMultilevel"/>
    <w:tmpl w:val="3E3878E8"/>
    <w:lvl w:ilvl="0" w:tplc="E4A4FB32">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2" w15:restartNumberingAfterBreak="0">
    <w:nsid w:val="32884D12"/>
    <w:multiLevelType w:val="hybridMultilevel"/>
    <w:tmpl w:val="7016715E"/>
    <w:lvl w:ilvl="0" w:tplc="DFA2E06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719781A"/>
    <w:multiLevelType w:val="hybridMultilevel"/>
    <w:tmpl w:val="70D03C4A"/>
    <w:lvl w:ilvl="0" w:tplc="5B625B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7D63ED8"/>
    <w:multiLevelType w:val="hybridMultilevel"/>
    <w:tmpl w:val="25DCC0E0"/>
    <w:lvl w:ilvl="0" w:tplc="C268B69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46B75FD"/>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913EED"/>
    <w:multiLevelType w:val="multilevel"/>
    <w:tmpl w:val="92EAAE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10204E2"/>
    <w:multiLevelType w:val="hybridMultilevel"/>
    <w:tmpl w:val="971456CC"/>
    <w:lvl w:ilvl="0" w:tplc="29B0B2FA">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55567FBB"/>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B8611E"/>
    <w:multiLevelType w:val="hybridMultilevel"/>
    <w:tmpl w:val="52807214"/>
    <w:lvl w:ilvl="0" w:tplc="E9ECBE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C5E1D2E"/>
    <w:multiLevelType w:val="hybridMultilevel"/>
    <w:tmpl w:val="71820C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5E25CF"/>
    <w:multiLevelType w:val="hybridMultilevel"/>
    <w:tmpl w:val="607874FA"/>
    <w:lvl w:ilvl="0" w:tplc="E80C9F5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F1063E2"/>
    <w:multiLevelType w:val="hybridMultilevel"/>
    <w:tmpl w:val="CF428E50"/>
    <w:lvl w:ilvl="0" w:tplc="FF48336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8"/>
  </w:num>
  <w:num w:numId="3">
    <w:abstractNumId w:val="21"/>
  </w:num>
  <w:num w:numId="4">
    <w:abstractNumId w:val="14"/>
  </w:num>
  <w:num w:numId="5">
    <w:abstractNumId w:val="5"/>
  </w:num>
  <w:num w:numId="6">
    <w:abstractNumId w:val="7"/>
  </w:num>
  <w:num w:numId="7">
    <w:abstractNumId w:val="19"/>
  </w:num>
  <w:num w:numId="8">
    <w:abstractNumId w:val="11"/>
  </w:num>
  <w:num w:numId="9">
    <w:abstractNumId w:val="4"/>
  </w:num>
  <w:num w:numId="10">
    <w:abstractNumId w:val="15"/>
  </w:num>
  <w:num w:numId="11">
    <w:abstractNumId w:val="18"/>
  </w:num>
  <w:num w:numId="12">
    <w:abstractNumId w:val="16"/>
  </w:num>
  <w:num w:numId="13">
    <w:abstractNumId w:val="6"/>
  </w:num>
  <w:num w:numId="14">
    <w:abstractNumId w:val="0"/>
  </w:num>
  <w:num w:numId="15">
    <w:abstractNumId w:val="10"/>
  </w:num>
  <w:num w:numId="16">
    <w:abstractNumId w:val="2"/>
  </w:num>
  <w:num w:numId="17">
    <w:abstractNumId w:val="3"/>
  </w:num>
  <w:num w:numId="18">
    <w:abstractNumId w:val="9"/>
  </w:num>
  <w:num w:numId="19">
    <w:abstractNumId w:val="20"/>
  </w:num>
  <w:num w:numId="20">
    <w:abstractNumId w:val="22"/>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020"/>
    <w:rsid w:val="000005D4"/>
    <w:rsid w:val="00000CCD"/>
    <w:rsid w:val="00001353"/>
    <w:rsid w:val="00001C89"/>
    <w:rsid w:val="0000267D"/>
    <w:rsid w:val="000040B9"/>
    <w:rsid w:val="00005890"/>
    <w:rsid w:val="000122BE"/>
    <w:rsid w:val="00013D43"/>
    <w:rsid w:val="0001465E"/>
    <w:rsid w:val="00015265"/>
    <w:rsid w:val="00025D27"/>
    <w:rsid w:val="00031F34"/>
    <w:rsid w:val="00032F71"/>
    <w:rsid w:val="000410A6"/>
    <w:rsid w:val="0004304E"/>
    <w:rsid w:val="00047ADC"/>
    <w:rsid w:val="000501E4"/>
    <w:rsid w:val="00050226"/>
    <w:rsid w:val="000504D7"/>
    <w:rsid w:val="00051D14"/>
    <w:rsid w:val="0005519A"/>
    <w:rsid w:val="000571F5"/>
    <w:rsid w:val="00063311"/>
    <w:rsid w:val="000653FB"/>
    <w:rsid w:val="0006665C"/>
    <w:rsid w:val="0006765C"/>
    <w:rsid w:val="00070812"/>
    <w:rsid w:val="00071B20"/>
    <w:rsid w:val="00073F0A"/>
    <w:rsid w:val="000751B1"/>
    <w:rsid w:val="00080F69"/>
    <w:rsid w:val="00090405"/>
    <w:rsid w:val="00090C70"/>
    <w:rsid w:val="00097AB0"/>
    <w:rsid w:val="000A2397"/>
    <w:rsid w:val="000A3493"/>
    <w:rsid w:val="000A4209"/>
    <w:rsid w:val="000B5912"/>
    <w:rsid w:val="000B7697"/>
    <w:rsid w:val="000C1237"/>
    <w:rsid w:val="000C499B"/>
    <w:rsid w:val="000D12F9"/>
    <w:rsid w:val="000D131F"/>
    <w:rsid w:val="000E1289"/>
    <w:rsid w:val="000E1BEF"/>
    <w:rsid w:val="000E1D25"/>
    <w:rsid w:val="000E44A0"/>
    <w:rsid w:val="000E4810"/>
    <w:rsid w:val="000F2AE6"/>
    <w:rsid w:val="000F4A0B"/>
    <w:rsid w:val="000F5BF5"/>
    <w:rsid w:val="000F6792"/>
    <w:rsid w:val="0010430E"/>
    <w:rsid w:val="00107BAE"/>
    <w:rsid w:val="00110F5D"/>
    <w:rsid w:val="00112270"/>
    <w:rsid w:val="001124FD"/>
    <w:rsid w:val="00120D10"/>
    <w:rsid w:val="00122086"/>
    <w:rsid w:val="00122424"/>
    <w:rsid w:val="00130D42"/>
    <w:rsid w:val="001320E0"/>
    <w:rsid w:val="00134C71"/>
    <w:rsid w:val="0013583E"/>
    <w:rsid w:val="00142F77"/>
    <w:rsid w:val="00144843"/>
    <w:rsid w:val="001461EF"/>
    <w:rsid w:val="001465B2"/>
    <w:rsid w:val="00151D74"/>
    <w:rsid w:val="00152834"/>
    <w:rsid w:val="001548EC"/>
    <w:rsid w:val="00156169"/>
    <w:rsid w:val="001565E2"/>
    <w:rsid w:val="00164EB3"/>
    <w:rsid w:val="00167C27"/>
    <w:rsid w:val="00167D7E"/>
    <w:rsid w:val="00171B86"/>
    <w:rsid w:val="00175142"/>
    <w:rsid w:val="00177D3D"/>
    <w:rsid w:val="00180B88"/>
    <w:rsid w:val="00185822"/>
    <w:rsid w:val="00186AF4"/>
    <w:rsid w:val="001916FD"/>
    <w:rsid w:val="00196EC3"/>
    <w:rsid w:val="001A19A8"/>
    <w:rsid w:val="001A296D"/>
    <w:rsid w:val="001A4418"/>
    <w:rsid w:val="001A64E7"/>
    <w:rsid w:val="001A6587"/>
    <w:rsid w:val="001A65C7"/>
    <w:rsid w:val="001B004D"/>
    <w:rsid w:val="001B06D1"/>
    <w:rsid w:val="001C1227"/>
    <w:rsid w:val="001C5223"/>
    <w:rsid w:val="001C674C"/>
    <w:rsid w:val="001C7576"/>
    <w:rsid w:val="001C7DAE"/>
    <w:rsid w:val="001C7EC5"/>
    <w:rsid w:val="001D081B"/>
    <w:rsid w:val="001D63D9"/>
    <w:rsid w:val="001D7810"/>
    <w:rsid w:val="001E1348"/>
    <w:rsid w:val="001E1AB5"/>
    <w:rsid w:val="001E4215"/>
    <w:rsid w:val="001E6AE0"/>
    <w:rsid w:val="001F13F0"/>
    <w:rsid w:val="001F2D7A"/>
    <w:rsid w:val="001F3AF4"/>
    <w:rsid w:val="001F4473"/>
    <w:rsid w:val="001F580F"/>
    <w:rsid w:val="001F5984"/>
    <w:rsid w:val="002000B9"/>
    <w:rsid w:val="00201203"/>
    <w:rsid w:val="00201C27"/>
    <w:rsid w:val="00207426"/>
    <w:rsid w:val="002139BE"/>
    <w:rsid w:val="00220BDF"/>
    <w:rsid w:val="00220C3D"/>
    <w:rsid w:val="00222816"/>
    <w:rsid w:val="00222ECD"/>
    <w:rsid w:val="00236314"/>
    <w:rsid w:val="002377ED"/>
    <w:rsid w:val="00241F9A"/>
    <w:rsid w:val="0024361B"/>
    <w:rsid w:val="002451EE"/>
    <w:rsid w:val="0024581C"/>
    <w:rsid w:val="00253789"/>
    <w:rsid w:val="00254C66"/>
    <w:rsid w:val="00257352"/>
    <w:rsid w:val="00261F65"/>
    <w:rsid w:val="00262C76"/>
    <w:rsid w:val="002634DE"/>
    <w:rsid w:val="00274E2A"/>
    <w:rsid w:val="00275658"/>
    <w:rsid w:val="00275C60"/>
    <w:rsid w:val="00282A71"/>
    <w:rsid w:val="002835A6"/>
    <w:rsid w:val="00285228"/>
    <w:rsid w:val="002857AB"/>
    <w:rsid w:val="00285B6E"/>
    <w:rsid w:val="00292082"/>
    <w:rsid w:val="00292785"/>
    <w:rsid w:val="00293363"/>
    <w:rsid w:val="002954A1"/>
    <w:rsid w:val="00297CAF"/>
    <w:rsid w:val="002A1979"/>
    <w:rsid w:val="002A298A"/>
    <w:rsid w:val="002A35E7"/>
    <w:rsid w:val="002A37FB"/>
    <w:rsid w:val="002A3DA3"/>
    <w:rsid w:val="002A4473"/>
    <w:rsid w:val="002B1DD0"/>
    <w:rsid w:val="002B4A23"/>
    <w:rsid w:val="002B63C3"/>
    <w:rsid w:val="002B72F3"/>
    <w:rsid w:val="002C4A92"/>
    <w:rsid w:val="002C5520"/>
    <w:rsid w:val="002C7F9A"/>
    <w:rsid w:val="002D02C2"/>
    <w:rsid w:val="002D1DCF"/>
    <w:rsid w:val="002D2C00"/>
    <w:rsid w:val="002D603D"/>
    <w:rsid w:val="002D7417"/>
    <w:rsid w:val="002D77CD"/>
    <w:rsid w:val="002E006D"/>
    <w:rsid w:val="002E0CA2"/>
    <w:rsid w:val="002E2F02"/>
    <w:rsid w:val="002E317F"/>
    <w:rsid w:val="002F318F"/>
    <w:rsid w:val="002F3918"/>
    <w:rsid w:val="002F3934"/>
    <w:rsid w:val="002F3A26"/>
    <w:rsid w:val="002F4979"/>
    <w:rsid w:val="002F788B"/>
    <w:rsid w:val="00300621"/>
    <w:rsid w:val="0030277F"/>
    <w:rsid w:val="003059E4"/>
    <w:rsid w:val="0030796E"/>
    <w:rsid w:val="0031092F"/>
    <w:rsid w:val="003250CA"/>
    <w:rsid w:val="0032585B"/>
    <w:rsid w:val="00326289"/>
    <w:rsid w:val="00333D59"/>
    <w:rsid w:val="00335279"/>
    <w:rsid w:val="00337FC7"/>
    <w:rsid w:val="003440F9"/>
    <w:rsid w:val="0034515A"/>
    <w:rsid w:val="0034706C"/>
    <w:rsid w:val="00347A51"/>
    <w:rsid w:val="00351ECE"/>
    <w:rsid w:val="003529E1"/>
    <w:rsid w:val="0035373C"/>
    <w:rsid w:val="003546A0"/>
    <w:rsid w:val="00356C64"/>
    <w:rsid w:val="003574D3"/>
    <w:rsid w:val="003603BA"/>
    <w:rsid w:val="0036045C"/>
    <w:rsid w:val="00363163"/>
    <w:rsid w:val="00364596"/>
    <w:rsid w:val="00364E2A"/>
    <w:rsid w:val="00365FF5"/>
    <w:rsid w:val="00370D6D"/>
    <w:rsid w:val="0038482B"/>
    <w:rsid w:val="0038710C"/>
    <w:rsid w:val="00391C3A"/>
    <w:rsid w:val="00395DC1"/>
    <w:rsid w:val="003A2799"/>
    <w:rsid w:val="003A5D83"/>
    <w:rsid w:val="003A5EC9"/>
    <w:rsid w:val="003A652E"/>
    <w:rsid w:val="003B033B"/>
    <w:rsid w:val="003B1F8B"/>
    <w:rsid w:val="003B55B3"/>
    <w:rsid w:val="003B57D6"/>
    <w:rsid w:val="003C3A7A"/>
    <w:rsid w:val="003C4785"/>
    <w:rsid w:val="003D2D56"/>
    <w:rsid w:val="003D3EAB"/>
    <w:rsid w:val="003D72B0"/>
    <w:rsid w:val="003E1D41"/>
    <w:rsid w:val="003E54E0"/>
    <w:rsid w:val="003F069E"/>
    <w:rsid w:val="003F071B"/>
    <w:rsid w:val="003F15B0"/>
    <w:rsid w:val="003F1D34"/>
    <w:rsid w:val="003F2D0C"/>
    <w:rsid w:val="003F34FD"/>
    <w:rsid w:val="003F76F3"/>
    <w:rsid w:val="004029A3"/>
    <w:rsid w:val="0040482F"/>
    <w:rsid w:val="00404AB9"/>
    <w:rsid w:val="0041086A"/>
    <w:rsid w:val="004111D6"/>
    <w:rsid w:val="004160A1"/>
    <w:rsid w:val="0041617F"/>
    <w:rsid w:val="00421972"/>
    <w:rsid w:val="0042328E"/>
    <w:rsid w:val="00426685"/>
    <w:rsid w:val="00427244"/>
    <w:rsid w:val="004276A1"/>
    <w:rsid w:val="00441720"/>
    <w:rsid w:val="00443E69"/>
    <w:rsid w:val="00445075"/>
    <w:rsid w:val="0045004D"/>
    <w:rsid w:val="00461694"/>
    <w:rsid w:val="00462052"/>
    <w:rsid w:val="00477E6A"/>
    <w:rsid w:val="004815C3"/>
    <w:rsid w:val="00481D47"/>
    <w:rsid w:val="004900E0"/>
    <w:rsid w:val="004902C3"/>
    <w:rsid w:val="00490731"/>
    <w:rsid w:val="00491C73"/>
    <w:rsid w:val="00493C3E"/>
    <w:rsid w:val="00496EC0"/>
    <w:rsid w:val="00497E2C"/>
    <w:rsid w:val="004A1E1D"/>
    <w:rsid w:val="004A2E58"/>
    <w:rsid w:val="004A4701"/>
    <w:rsid w:val="004B0664"/>
    <w:rsid w:val="004B2F59"/>
    <w:rsid w:val="004B73A5"/>
    <w:rsid w:val="004C013D"/>
    <w:rsid w:val="004C1AD5"/>
    <w:rsid w:val="004C1CD9"/>
    <w:rsid w:val="004C356C"/>
    <w:rsid w:val="004C4395"/>
    <w:rsid w:val="004C453D"/>
    <w:rsid w:val="004C74C5"/>
    <w:rsid w:val="004D3ECF"/>
    <w:rsid w:val="004D50E3"/>
    <w:rsid w:val="004D75CA"/>
    <w:rsid w:val="004D7601"/>
    <w:rsid w:val="004E109C"/>
    <w:rsid w:val="004E23EF"/>
    <w:rsid w:val="004E26D3"/>
    <w:rsid w:val="004E3C3D"/>
    <w:rsid w:val="004E4015"/>
    <w:rsid w:val="004E4B2D"/>
    <w:rsid w:val="004F0A4F"/>
    <w:rsid w:val="004F0A98"/>
    <w:rsid w:val="004F6A63"/>
    <w:rsid w:val="004F726D"/>
    <w:rsid w:val="0050016C"/>
    <w:rsid w:val="00502DCE"/>
    <w:rsid w:val="00503AC7"/>
    <w:rsid w:val="00503D47"/>
    <w:rsid w:val="00505C4D"/>
    <w:rsid w:val="005066AA"/>
    <w:rsid w:val="00510831"/>
    <w:rsid w:val="00512203"/>
    <w:rsid w:val="00512356"/>
    <w:rsid w:val="0051284B"/>
    <w:rsid w:val="0051302B"/>
    <w:rsid w:val="00513977"/>
    <w:rsid w:val="0051747A"/>
    <w:rsid w:val="00524119"/>
    <w:rsid w:val="00524DEE"/>
    <w:rsid w:val="00530282"/>
    <w:rsid w:val="00532146"/>
    <w:rsid w:val="00533156"/>
    <w:rsid w:val="00535929"/>
    <w:rsid w:val="0053681B"/>
    <w:rsid w:val="0054128B"/>
    <w:rsid w:val="00546E6C"/>
    <w:rsid w:val="00547C07"/>
    <w:rsid w:val="00550579"/>
    <w:rsid w:val="00552B5A"/>
    <w:rsid w:val="0055485A"/>
    <w:rsid w:val="00554CA5"/>
    <w:rsid w:val="005563AE"/>
    <w:rsid w:val="005619D1"/>
    <w:rsid w:val="00562D90"/>
    <w:rsid w:val="00563015"/>
    <w:rsid w:val="005649B2"/>
    <w:rsid w:val="00565ADA"/>
    <w:rsid w:val="00566EED"/>
    <w:rsid w:val="0056760A"/>
    <w:rsid w:val="005712F6"/>
    <w:rsid w:val="00572F2D"/>
    <w:rsid w:val="005772BD"/>
    <w:rsid w:val="00581E9B"/>
    <w:rsid w:val="005918FE"/>
    <w:rsid w:val="005A0808"/>
    <w:rsid w:val="005A10DD"/>
    <w:rsid w:val="005A1E64"/>
    <w:rsid w:val="005A2498"/>
    <w:rsid w:val="005A3F07"/>
    <w:rsid w:val="005A4311"/>
    <w:rsid w:val="005A48EF"/>
    <w:rsid w:val="005A5C7F"/>
    <w:rsid w:val="005B69B5"/>
    <w:rsid w:val="005B747E"/>
    <w:rsid w:val="005C2C58"/>
    <w:rsid w:val="005C4246"/>
    <w:rsid w:val="005C6585"/>
    <w:rsid w:val="005D6D6B"/>
    <w:rsid w:val="005E2B3B"/>
    <w:rsid w:val="005E6475"/>
    <w:rsid w:val="005E706D"/>
    <w:rsid w:val="005F1EC9"/>
    <w:rsid w:val="0060261D"/>
    <w:rsid w:val="00604C92"/>
    <w:rsid w:val="006055E1"/>
    <w:rsid w:val="006126DE"/>
    <w:rsid w:val="00614410"/>
    <w:rsid w:val="00617463"/>
    <w:rsid w:val="0062386E"/>
    <w:rsid w:val="00626975"/>
    <w:rsid w:val="00627A4B"/>
    <w:rsid w:val="00630CF4"/>
    <w:rsid w:val="00633F8D"/>
    <w:rsid w:val="00635056"/>
    <w:rsid w:val="00641143"/>
    <w:rsid w:val="00643097"/>
    <w:rsid w:val="00646D2E"/>
    <w:rsid w:val="0064743C"/>
    <w:rsid w:val="00650DF0"/>
    <w:rsid w:val="0065127D"/>
    <w:rsid w:val="00653762"/>
    <w:rsid w:val="006550FF"/>
    <w:rsid w:val="00656154"/>
    <w:rsid w:val="0066378A"/>
    <w:rsid w:val="00664642"/>
    <w:rsid w:val="00664E4D"/>
    <w:rsid w:val="006672FA"/>
    <w:rsid w:val="00670847"/>
    <w:rsid w:val="006724F5"/>
    <w:rsid w:val="006748FF"/>
    <w:rsid w:val="00675829"/>
    <w:rsid w:val="0067606F"/>
    <w:rsid w:val="006763E9"/>
    <w:rsid w:val="00677F19"/>
    <w:rsid w:val="006804B4"/>
    <w:rsid w:val="006824ED"/>
    <w:rsid w:val="006845CD"/>
    <w:rsid w:val="0068491E"/>
    <w:rsid w:val="00687A51"/>
    <w:rsid w:val="0069220F"/>
    <w:rsid w:val="006925DE"/>
    <w:rsid w:val="00692C8D"/>
    <w:rsid w:val="00692FFC"/>
    <w:rsid w:val="00694779"/>
    <w:rsid w:val="00695AE8"/>
    <w:rsid w:val="00696FE3"/>
    <w:rsid w:val="006A0C15"/>
    <w:rsid w:val="006A40DA"/>
    <w:rsid w:val="006A5A85"/>
    <w:rsid w:val="006B2ABD"/>
    <w:rsid w:val="006B301F"/>
    <w:rsid w:val="006B52A9"/>
    <w:rsid w:val="006C5AB0"/>
    <w:rsid w:val="006C7431"/>
    <w:rsid w:val="006D29DE"/>
    <w:rsid w:val="006D62DD"/>
    <w:rsid w:val="006E1409"/>
    <w:rsid w:val="006E1F14"/>
    <w:rsid w:val="006E3B96"/>
    <w:rsid w:val="006E77B2"/>
    <w:rsid w:val="00701F8A"/>
    <w:rsid w:val="007021D0"/>
    <w:rsid w:val="0070509B"/>
    <w:rsid w:val="00707EE2"/>
    <w:rsid w:val="0071127F"/>
    <w:rsid w:val="00711F5F"/>
    <w:rsid w:val="00717BC1"/>
    <w:rsid w:val="00720E76"/>
    <w:rsid w:val="007251BF"/>
    <w:rsid w:val="00726B30"/>
    <w:rsid w:val="007277AA"/>
    <w:rsid w:val="00727D99"/>
    <w:rsid w:val="00731D05"/>
    <w:rsid w:val="00733473"/>
    <w:rsid w:val="00733747"/>
    <w:rsid w:val="00740954"/>
    <w:rsid w:val="00743996"/>
    <w:rsid w:val="00743FCB"/>
    <w:rsid w:val="007440A8"/>
    <w:rsid w:val="0074440F"/>
    <w:rsid w:val="00750397"/>
    <w:rsid w:val="00753DA7"/>
    <w:rsid w:val="00755203"/>
    <w:rsid w:val="007638C6"/>
    <w:rsid w:val="0076405C"/>
    <w:rsid w:val="0076477A"/>
    <w:rsid w:val="00773F83"/>
    <w:rsid w:val="00775FF0"/>
    <w:rsid w:val="00777376"/>
    <w:rsid w:val="00781EB9"/>
    <w:rsid w:val="007830EB"/>
    <w:rsid w:val="007845F0"/>
    <w:rsid w:val="0078486F"/>
    <w:rsid w:val="00785051"/>
    <w:rsid w:val="0079247A"/>
    <w:rsid w:val="00792ABD"/>
    <w:rsid w:val="00793DB2"/>
    <w:rsid w:val="00794C1B"/>
    <w:rsid w:val="00795D88"/>
    <w:rsid w:val="007A084D"/>
    <w:rsid w:val="007A456E"/>
    <w:rsid w:val="007A582A"/>
    <w:rsid w:val="007A5A3C"/>
    <w:rsid w:val="007B1CD2"/>
    <w:rsid w:val="007B343E"/>
    <w:rsid w:val="007B380A"/>
    <w:rsid w:val="007B5A26"/>
    <w:rsid w:val="007B6B55"/>
    <w:rsid w:val="007B744D"/>
    <w:rsid w:val="007C151D"/>
    <w:rsid w:val="007C7ED3"/>
    <w:rsid w:val="007D0FB6"/>
    <w:rsid w:val="007D24BD"/>
    <w:rsid w:val="007D30CC"/>
    <w:rsid w:val="007D41D7"/>
    <w:rsid w:val="007D457C"/>
    <w:rsid w:val="007D580E"/>
    <w:rsid w:val="007E0B63"/>
    <w:rsid w:val="007F0851"/>
    <w:rsid w:val="007F3A87"/>
    <w:rsid w:val="007F682A"/>
    <w:rsid w:val="007F709F"/>
    <w:rsid w:val="00800256"/>
    <w:rsid w:val="00801F3C"/>
    <w:rsid w:val="00804F26"/>
    <w:rsid w:val="00820095"/>
    <w:rsid w:val="0082240E"/>
    <w:rsid w:val="00826DE7"/>
    <w:rsid w:val="00831110"/>
    <w:rsid w:val="00834157"/>
    <w:rsid w:val="0083613A"/>
    <w:rsid w:val="00843C5F"/>
    <w:rsid w:val="0084423E"/>
    <w:rsid w:val="00851AC8"/>
    <w:rsid w:val="00852136"/>
    <w:rsid w:val="00853B05"/>
    <w:rsid w:val="008555CE"/>
    <w:rsid w:val="00855A41"/>
    <w:rsid w:val="008629AB"/>
    <w:rsid w:val="00880E5E"/>
    <w:rsid w:val="00882DEF"/>
    <w:rsid w:val="008962E1"/>
    <w:rsid w:val="008A1C58"/>
    <w:rsid w:val="008A3D5D"/>
    <w:rsid w:val="008A5010"/>
    <w:rsid w:val="008A544F"/>
    <w:rsid w:val="008A6B5A"/>
    <w:rsid w:val="008A765E"/>
    <w:rsid w:val="008B3ED7"/>
    <w:rsid w:val="008B4FF0"/>
    <w:rsid w:val="008C07EE"/>
    <w:rsid w:val="008C0A52"/>
    <w:rsid w:val="008C0DF5"/>
    <w:rsid w:val="008C1772"/>
    <w:rsid w:val="008C4546"/>
    <w:rsid w:val="008C53A3"/>
    <w:rsid w:val="008C5886"/>
    <w:rsid w:val="008C7430"/>
    <w:rsid w:val="008D490A"/>
    <w:rsid w:val="008E2878"/>
    <w:rsid w:val="008E7781"/>
    <w:rsid w:val="008F3747"/>
    <w:rsid w:val="008F3AEC"/>
    <w:rsid w:val="008F4825"/>
    <w:rsid w:val="008F7F1A"/>
    <w:rsid w:val="0090034C"/>
    <w:rsid w:val="0090236D"/>
    <w:rsid w:val="0090255F"/>
    <w:rsid w:val="00903709"/>
    <w:rsid w:val="00905845"/>
    <w:rsid w:val="00911286"/>
    <w:rsid w:val="00911A6F"/>
    <w:rsid w:val="0091482C"/>
    <w:rsid w:val="009219E0"/>
    <w:rsid w:val="00923EFE"/>
    <w:rsid w:val="00931E27"/>
    <w:rsid w:val="00933B75"/>
    <w:rsid w:val="009369AC"/>
    <w:rsid w:val="009414B0"/>
    <w:rsid w:val="00945CD1"/>
    <w:rsid w:val="009507D1"/>
    <w:rsid w:val="00952540"/>
    <w:rsid w:val="0095390B"/>
    <w:rsid w:val="009617C9"/>
    <w:rsid w:val="00962B51"/>
    <w:rsid w:val="00962DA9"/>
    <w:rsid w:val="00962DD3"/>
    <w:rsid w:val="00963097"/>
    <w:rsid w:val="009632E5"/>
    <w:rsid w:val="0097007B"/>
    <w:rsid w:val="00972098"/>
    <w:rsid w:val="009826EC"/>
    <w:rsid w:val="00984495"/>
    <w:rsid w:val="00996538"/>
    <w:rsid w:val="009A348F"/>
    <w:rsid w:val="009B1B92"/>
    <w:rsid w:val="009B43B6"/>
    <w:rsid w:val="009B53EE"/>
    <w:rsid w:val="009B5749"/>
    <w:rsid w:val="009B678C"/>
    <w:rsid w:val="009B773F"/>
    <w:rsid w:val="009B7E60"/>
    <w:rsid w:val="009D0020"/>
    <w:rsid w:val="009D1CB6"/>
    <w:rsid w:val="009D2357"/>
    <w:rsid w:val="009D4E5B"/>
    <w:rsid w:val="009D7AA0"/>
    <w:rsid w:val="009E5DC1"/>
    <w:rsid w:val="009F22B2"/>
    <w:rsid w:val="00A01404"/>
    <w:rsid w:val="00A01606"/>
    <w:rsid w:val="00A01D3A"/>
    <w:rsid w:val="00A02BAB"/>
    <w:rsid w:val="00A062B8"/>
    <w:rsid w:val="00A113D7"/>
    <w:rsid w:val="00A12646"/>
    <w:rsid w:val="00A14D68"/>
    <w:rsid w:val="00A15AF1"/>
    <w:rsid w:val="00A15D82"/>
    <w:rsid w:val="00A16347"/>
    <w:rsid w:val="00A16815"/>
    <w:rsid w:val="00A219B8"/>
    <w:rsid w:val="00A23D1A"/>
    <w:rsid w:val="00A243EA"/>
    <w:rsid w:val="00A2640F"/>
    <w:rsid w:val="00A27346"/>
    <w:rsid w:val="00A2737C"/>
    <w:rsid w:val="00A274C7"/>
    <w:rsid w:val="00A310D1"/>
    <w:rsid w:val="00A32D6B"/>
    <w:rsid w:val="00A32F04"/>
    <w:rsid w:val="00A34083"/>
    <w:rsid w:val="00A35364"/>
    <w:rsid w:val="00A4131A"/>
    <w:rsid w:val="00A468FD"/>
    <w:rsid w:val="00A47CAF"/>
    <w:rsid w:val="00A52768"/>
    <w:rsid w:val="00A54A8E"/>
    <w:rsid w:val="00A54C21"/>
    <w:rsid w:val="00A56ABC"/>
    <w:rsid w:val="00A57DF3"/>
    <w:rsid w:val="00A63C2F"/>
    <w:rsid w:val="00A70711"/>
    <w:rsid w:val="00A72DCB"/>
    <w:rsid w:val="00A750F6"/>
    <w:rsid w:val="00A754CC"/>
    <w:rsid w:val="00A8214B"/>
    <w:rsid w:val="00A838ED"/>
    <w:rsid w:val="00A8455B"/>
    <w:rsid w:val="00A84CCE"/>
    <w:rsid w:val="00A873F6"/>
    <w:rsid w:val="00A97D4D"/>
    <w:rsid w:val="00AA1C9D"/>
    <w:rsid w:val="00AA3460"/>
    <w:rsid w:val="00AB0FE1"/>
    <w:rsid w:val="00AB2593"/>
    <w:rsid w:val="00AB28F1"/>
    <w:rsid w:val="00AB2CFD"/>
    <w:rsid w:val="00AB5625"/>
    <w:rsid w:val="00AB5ED6"/>
    <w:rsid w:val="00AC1A60"/>
    <w:rsid w:val="00AC40A0"/>
    <w:rsid w:val="00AC58C2"/>
    <w:rsid w:val="00AD127F"/>
    <w:rsid w:val="00AD3A9B"/>
    <w:rsid w:val="00AD4CA0"/>
    <w:rsid w:val="00AD6AD9"/>
    <w:rsid w:val="00AD7B5B"/>
    <w:rsid w:val="00AE0012"/>
    <w:rsid w:val="00AE353D"/>
    <w:rsid w:val="00AE3D81"/>
    <w:rsid w:val="00AF082E"/>
    <w:rsid w:val="00AF6FDA"/>
    <w:rsid w:val="00B00EBB"/>
    <w:rsid w:val="00B024EC"/>
    <w:rsid w:val="00B07715"/>
    <w:rsid w:val="00B12688"/>
    <w:rsid w:val="00B27D93"/>
    <w:rsid w:val="00B32781"/>
    <w:rsid w:val="00B3615D"/>
    <w:rsid w:val="00B37E89"/>
    <w:rsid w:val="00B45555"/>
    <w:rsid w:val="00B45FFA"/>
    <w:rsid w:val="00B46935"/>
    <w:rsid w:val="00B5163F"/>
    <w:rsid w:val="00B527CF"/>
    <w:rsid w:val="00B53660"/>
    <w:rsid w:val="00B602E1"/>
    <w:rsid w:val="00B614A7"/>
    <w:rsid w:val="00B63140"/>
    <w:rsid w:val="00B70801"/>
    <w:rsid w:val="00B71E58"/>
    <w:rsid w:val="00B72F32"/>
    <w:rsid w:val="00B734E3"/>
    <w:rsid w:val="00B7587C"/>
    <w:rsid w:val="00B82703"/>
    <w:rsid w:val="00B83A3C"/>
    <w:rsid w:val="00B85DC9"/>
    <w:rsid w:val="00B86514"/>
    <w:rsid w:val="00B87F23"/>
    <w:rsid w:val="00B9105D"/>
    <w:rsid w:val="00B92D62"/>
    <w:rsid w:val="00B94462"/>
    <w:rsid w:val="00B96C43"/>
    <w:rsid w:val="00BA1925"/>
    <w:rsid w:val="00BA298C"/>
    <w:rsid w:val="00BA5011"/>
    <w:rsid w:val="00BA5069"/>
    <w:rsid w:val="00BA525B"/>
    <w:rsid w:val="00BA601B"/>
    <w:rsid w:val="00BA6F9B"/>
    <w:rsid w:val="00BB0EC1"/>
    <w:rsid w:val="00BB1413"/>
    <w:rsid w:val="00BB2611"/>
    <w:rsid w:val="00BB4FF9"/>
    <w:rsid w:val="00BB7603"/>
    <w:rsid w:val="00BC07BF"/>
    <w:rsid w:val="00BC2A82"/>
    <w:rsid w:val="00BD0270"/>
    <w:rsid w:val="00BD1FB2"/>
    <w:rsid w:val="00BD5845"/>
    <w:rsid w:val="00BD76DB"/>
    <w:rsid w:val="00BE228F"/>
    <w:rsid w:val="00BE5DD3"/>
    <w:rsid w:val="00BF0C98"/>
    <w:rsid w:val="00BF10A1"/>
    <w:rsid w:val="00BF5E8F"/>
    <w:rsid w:val="00BF75DA"/>
    <w:rsid w:val="00C02917"/>
    <w:rsid w:val="00C0547B"/>
    <w:rsid w:val="00C20DD6"/>
    <w:rsid w:val="00C25AC8"/>
    <w:rsid w:val="00C309A1"/>
    <w:rsid w:val="00C32836"/>
    <w:rsid w:val="00C335FE"/>
    <w:rsid w:val="00C33FAA"/>
    <w:rsid w:val="00C369B0"/>
    <w:rsid w:val="00C36D21"/>
    <w:rsid w:val="00C36F4F"/>
    <w:rsid w:val="00C441B0"/>
    <w:rsid w:val="00C444AA"/>
    <w:rsid w:val="00C45F14"/>
    <w:rsid w:val="00C47AB5"/>
    <w:rsid w:val="00C53799"/>
    <w:rsid w:val="00C55F92"/>
    <w:rsid w:val="00C578CD"/>
    <w:rsid w:val="00C60ED1"/>
    <w:rsid w:val="00C64298"/>
    <w:rsid w:val="00C64AB5"/>
    <w:rsid w:val="00C6559C"/>
    <w:rsid w:val="00C66155"/>
    <w:rsid w:val="00C701C5"/>
    <w:rsid w:val="00C70EF8"/>
    <w:rsid w:val="00C76734"/>
    <w:rsid w:val="00C77FB6"/>
    <w:rsid w:val="00C8178D"/>
    <w:rsid w:val="00C8414E"/>
    <w:rsid w:val="00C842FC"/>
    <w:rsid w:val="00C87751"/>
    <w:rsid w:val="00C90FDE"/>
    <w:rsid w:val="00C974F5"/>
    <w:rsid w:val="00C979E2"/>
    <w:rsid w:val="00CA2089"/>
    <w:rsid w:val="00CA2F5C"/>
    <w:rsid w:val="00CA3CD2"/>
    <w:rsid w:val="00CA4357"/>
    <w:rsid w:val="00CA55D1"/>
    <w:rsid w:val="00CA73A0"/>
    <w:rsid w:val="00CB0954"/>
    <w:rsid w:val="00CB2053"/>
    <w:rsid w:val="00CB267C"/>
    <w:rsid w:val="00CB5FB3"/>
    <w:rsid w:val="00CB7770"/>
    <w:rsid w:val="00CB7D61"/>
    <w:rsid w:val="00CC095A"/>
    <w:rsid w:val="00CC25A3"/>
    <w:rsid w:val="00CC3756"/>
    <w:rsid w:val="00CC5788"/>
    <w:rsid w:val="00CC64C3"/>
    <w:rsid w:val="00CD19D0"/>
    <w:rsid w:val="00CD223A"/>
    <w:rsid w:val="00CD30F3"/>
    <w:rsid w:val="00CD5275"/>
    <w:rsid w:val="00CD5445"/>
    <w:rsid w:val="00CD5D93"/>
    <w:rsid w:val="00CD5EB4"/>
    <w:rsid w:val="00CD7DDD"/>
    <w:rsid w:val="00CE0AEA"/>
    <w:rsid w:val="00CE498D"/>
    <w:rsid w:val="00CE56A8"/>
    <w:rsid w:val="00CE7980"/>
    <w:rsid w:val="00CF1D1D"/>
    <w:rsid w:val="00D0291D"/>
    <w:rsid w:val="00D06B54"/>
    <w:rsid w:val="00D144A4"/>
    <w:rsid w:val="00D149C9"/>
    <w:rsid w:val="00D15DEF"/>
    <w:rsid w:val="00D213E6"/>
    <w:rsid w:val="00D2223B"/>
    <w:rsid w:val="00D225B5"/>
    <w:rsid w:val="00D22DD2"/>
    <w:rsid w:val="00D24457"/>
    <w:rsid w:val="00D25844"/>
    <w:rsid w:val="00D26D05"/>
    <w:rsid w:val="00D33D7F"/>
    <w:rsid w:val="00D34230"/>
    <w:rsid w:val="00D34F9F"/>
    <w:rsid w:val="00D3664E"/>
    <w:rsid w:val="00D36EC8"/>
    <w:rsid w:val="00D37FB4"/>
    <w:rsid w:val="00D40A19"/>
    <w:rsid w:val="00D41499"/>
    <w:rsid w:val="00D41687"/>
    <w:rsid w:val="00D42C7B"/>
    <w:rsid w:val="00D42FB3"/>
    <w:rsid w:val="00D432D4"/>
    <w:rsid w:val="00D446C0"/>
    <w:rsid w:val="00D44F59"/>
    <w:rsid w:val="00D4532B"/>
    <w:rsid w:val="00D45D43"/>
    <w:rsid w:val="00D47A7C"/>
    <w:rsid w:val="00D5280B"/>
    <w:rsid w:val="00D53A57"/>
    <w:rsid w:val="00D5437D"/>
    <w:rsid w:val="00D60A4B"/>
    <w:rsid w:val="00D60C88"/>
    <w:rsid w:val="00D6205E"/>
    <w:rsid w:val="00D64172"/>
    <w:rsid w:val="00D66BF4"/>
    <w:rsid w:val="00D70E59"/>
    <w:rsid w:val="00D71A30"/>
    <w:rsid w:val="00D726BA"/>
    <w:rsid w:val="00D80312"/>
    <w:rsid w:val="00D82D46"/>
    <w:rsid w:val="00DA1039"/>
    <w:rsid w:val="00DA4687"/>
    <w:rsid w:val="00DA4D48"/>
    <w:rsid w:val="00DB3666"/>
    <w:rsid w:val="00DB66DC"/>
    <w:rsid w:val="00DC20B9"/>
    <w:rsid w:val="00DC24B4"/>
    <w:rsid w:val="00DC3EAF"/>
    <w:rsid w:val="00DC455D"/>
    <w:rsid w:val="00DC7F4E"/>
    <w:rsid w:val="00DD21F2"/>
    <w:rsid w:val="00DD440E"/>
    <w:rsid w:val="00DD5067"/>
    <w:rsid w:val="00DD79CB"/>
    <w:rsid w:val="00DE02A8"/>
    <w:rsid w:val="00DE0CDE"/>
    <w:rsid w:val="00DE389C"/>
    <w:rsid w:val="00DE7B28"/>
    <w:rsid w:val="00DF05BD"/>
    <w:rsid w:val="00DF2C20"/>
    <w:rsid w:val="00DF6BBB"/>
    <w:rsid w:val="00E07DC7"/>
    <w:rsid w:val="00E11D7E"/>
    <w:rsid w:val="00E15450"/>
    <w:rsid w:val="00E16182"/>
    <w:rsid w:val="00E16EF3"/>
    <w:rsid w:val="00E21378"/>
    <w:rsid w:val="00E2246F"/>
    <w:rsid w:val="00E23BCE"/>
    <w:rsid w:val="00E24E08"/>
    <w:rsid w:val="00E3130B"/>
    <w:rsid w:val="00E31A3C"/>
    <w:rsid w:val="00E3551F"/>
    <w:rsid w:val="00E41514"/>
    <w:rsid w:val="00E426BE"/>
    <w:rsid w:val="00E502B3"/>
    <w:rsid w:val="00E55CB6"/>
    <w:rsid w:val="00E57509"/>
    <w:rsid w:val="00E67E86"/>
    <w:rsid w:val="00E70669"/>
    <w:rsid w:val="00E70CDF"/>
    <w:rsid w:val="00E74C4C"/>
    <w:rsid w:val="00E812E0"/>
    <w:rsid w:val="00E8184B"/>
    <w:rsid w:val="00E83CB9"/>
    <w:rsid w:val="00E83EA6"/>
    <w:rsid w:val="00E86061"/>
    <w:rsid w:val="00E90ABF"/>
    <w:rsid w:val="00E917C4"/>
    <w:rsid w:val="00E938F8"/>
    <w:rsid w:val="00E93A3B"/>
    <w:rsid w:val="00E95AC6"/>
    <w:rsid w:val="00E95B5B"/>
    <w:rsid w:val="00E9726F"/>
    <w:rsid w:val="00EA23F9"/>
    <w:rsid w:val="00EA476A"/>
    <w:rsid w:val="00EA67A0"/>
    <w:rsid w:val="00EB2B55"/>
    <w:rsid w:val="00EB2E43"/>
    <w:rsid w:val="00EB318C"/>
    <w:rsid w:val="00EB6598"/>
    <w:rsid w:val="00EB79FF"/>
    <w:rsid w:val="00EC188B"/>
    <w:rsid w:val="00EC18EC"/>
    <w:rsid w:val="00EC344B"/>
    <w:rsid w:val="00EC3B77"/>
    <w:rsid w:val="00EC45A4"/>
    <w:rsid w:val="00EC7C54"/>
    <w:rsid w:val="00ED033D"/>
    <w:rsid w:val="00ED0443"/>
    <w:rsid w:val="00ED0D0D"/>
    <w:rsid w:val="00ED175E"/>
    <w:rsid w:val="00ED2C36"/>
    <w:rsid w:val="00EE277F"/>
    <w:rsid w:val="00EE4D9C"/>
    <w:rsid w:val="00EE66F1"/>
    <w:rsid w:val="00EF1AA9"/>
    <w:rsid w:val="00EF270D"/>
    <w:rsid w:val="00EF4C6C"/>
    <w:rsid w:val="00EF77C1"/>
    <w:rsid w:val="00EF7B38"/>
    <w:rsid w:val="00F00709"/>
    <w:rsid w:val="00F01696"/>
    <w:rsid w:val="00F023E0"/>
    <w:rsid w:val="00F0316D"/>
    <w:rsid w:val="00F06B9A"/>
    <w:rsid w:val="00F12B60"/>
    <w:rsid w:val="00F17907"/>
    <w:rsid w:val="00F20848"/>
    <w:rsid w:val="00F20A49"/>
    <w:rsid w:val="00F21903"/>
    <w:rsid w:val="00F23016"/>
    <w:rsid w:val="00F23932"/>
    <w:rsid w:val="00F32029"/>
    <w:rsid w:val="00F32C16"/>
    <w:rsid w:val="00F34511"/>
    <w:rsid w:val="00F350D9"/>
    <w:rsid w:val="00F4219F"/>
    <w:rsid w:val="00F43B08"/>
    <w:rsid w:val="00F44D7A"/>
    <w:rsid w:val="00F46A27"/>
    <w:rsid w:val="00F509FA"/>
    <w:rsid w:val="00F513A1"/>
    <w:rsid w:val="00F5387E"/>
    <w:rsid w:val="00F550D3"/>
    <w:rsid w:val="00F5538B"/>
    <w:rsid w:val="00F568A6"/>
    <w:rsid w:val="00F601D9"/>
    <w:rsid w:val="00F63840"/>
    <w:rsid w:val="00F76A70"/>
    <w:rsid w:val="00F92B95"/>
    <w:rsid w:val="00F93E1D"/>
    <w:rsid w:val="00F974FC"/>
    <w:rsid w:val="00F97578"/>
    <w:rsid w:val="00FA266C"/>
    <w:rsid w:val="00FA2DA2"/>
    <w:rsid w:val="00FA6FAE"/>
    <w:rsid w:val="00FA7B36"/>
    <w:rsid w:val="00FB00EE"/>
    <w:rsid w:val="00FB62D7"/>
    <w:rsid w:val="00FB655E"/>
    <w:rsid w:val="00FC5926"/>
    <w:rsid w:val="00FC5F38"/>
    <w:rsid w:val="00FC672A"/>
    <w:rsid w:val="00FC70E6"/>
    <w:rsid w:val="00FD2E73"/>
    <w:rsid w:val="00FD3B4A"/>
    <w:rsid w:val="00FD6844"/>
    <w:rsid w:val="00FD7DD7"/>
    <w:rsid w:val="00FE5AF9"/>
    <w:rsid w:val="00FF19EA"/>
    <w:rsid w:val="00FF2863"/>
    <w:rsid w:val="00FF4695"/>
    <w:rsid w:val="00FF5087"/>
    <w:rsid w:val="00FF5618"/>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EEF0C"/>
  <w15:chartTrackingRefBased/>
  <w15:docId w15:val="{8869C5F7-7D2F-1A41-BEDE-98DAA5A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E498D"/>
    <w:pPr>
      <w:autoSpaceDE w:val="0"/>
      <w:autoSpaceDN w:val="0"/>
      <w:adjustRightInd w:val="0"/>
    </w:pPr>
    <w:rPr>
      <w:rFonts w:ascii="Times New Roman" w:hAnsi="Times New Roman" w:cs="Times New Roman"/>
      <w:color w:val="000000"/>
    </w:rPr>
  </w:style>
  <w:style w:type="paragraph" w:styleId="Lijstalinea">
    <w:name w:val="List Paragraph"/>
    <w:basedOn w:val="Standaard"/>
    <w:uiPriority w:val="34"/>
    <w:qFormat/>
    <w:rsid w:val="00740954"/>
    <w:pPr>
      <w:ind w:left="720"/>
      <w:contextualSpacing/>
    </w:pPr>
  </w:style>
  <w:style w:type="paragraph" w:styleId="Voetnoottekst">
    <w:name w:val="footnote text"/>
    <w:basedOn w:val="Standaard"/>
    <w:link w:val="VoetnoottekstChar"/>
    <w:uiPriority w:val="99"/>
    <w:unhideWhenUsed/>
    <w:rsid w:val="00445075"/>
    <w:pPr>
      <w:spacing w:after="120" w:line="276" w:lineRule="auto"/>
    </w:pPr>
    <w:rPr>
      <w:sz w:val="20"/>
      <w:szCs w:val="20"/>
      <w:lang w:val="de-AT"/>
    </w:rPr>
  </w:style>
  <w:style w:type="character" w:customStyle="1" w:styleId="VoetnoottekstChar">
    <w:name w:val="Voetnoottekst Char"/>
    <w:basedOn w:val="Standaardalinea-lettertype"/>
    <w:link w:val="Voetnoottekst"/>
    <w:uiPriority w:val="99"/>
    <w:rsid w:val="00445075"/>
    <w:rPr>
      <w:sz w:val="20"/>
      <w:szCs w:val="20"/>
      <w:lang w:val="de-AT"/>
    </w:rPr>
  </w:style>
  <w:style w:type="character" w:styleId="Voetnootmarkering">
    <w:name w:val="footnote reference"/>
    <w:basedOn w:val="Standaardalinea-lettertype"/>
    <w:uiPriority w:val="99"/>
    <w:semiHidden/>
    <w:unhideWhenUsed/>
    <w:rsid w:val="00445075"/>
    <w:rPr>
      <w:vertAlign w:val="superscript"/>
    </w:rPr>
  </w:style>
  <w:style w:type="paragraph" w:styleId="Koptekst">
    <w:name w:val="header"/>
    <w:basedOn w:val="Standaard"/>
    <w:link w:val="KoptekstChar"/>
    <w:uiPriority w:val="99"/>
    <w:unhideWhenUsed/>
    <w:rsid w:val="00156169"/>
    <w:pPr>
      <w:tabs>
        <w:tab w:val="center" w:pos="4680"/>
        <w:tab w:val="right" w:pos="9360"/>
      </w:tabs>
    </w:pPr>
  </w:style>
  <w:style w:type="character" w:customStyle="1" w:styleId="KoptekstChar">
    <w:name w:val="Koptekst Char"/>
    <w:basedOn w:val="Standaardalinea-lettertype"/>
    <w:link w:val="Koptekst"/>
    <w:uiPriority w:val="99"/>
    <w:rsid w:val="00156169"/>
  </w:style>
  <w:style w:type="paragraph" w:styleId="Voettekst">
    <w:name w:val="footer"/>
    <w:basedOn w:val="Standaard"/>
    <w:link w:val="VoettekstChar"/>
    <w:uiPriority w:val="99"/>
    <w:unhideWhenUsed/>
    <w:rsid w:val="00156169"/>
    <w:pPr>
      <w:tabs>
        <w:tab w:val="center" w:pos="4680"/>
        <w:tab w:val="right" w:pos="9360"/>
      </w:tabs>
    </w:pPr>
  </w:style>
  <w:style w:type="character" w:customStyle="1" w:styleId="VoettekstChar">
    <w:name w:val="Voettekst Char"/>
    <w:basedOn w:val="Standaardalinea-lettertype"/>
    <w:link w:val="Voettekst"/>
    <w:uiPriority w:val="99"/>
    <w:rsid w:val="00156169"/>
  </w:style>
  <w:style w:type="character" w:styleId="Hyperlink">
    <w:name w:val="Hyperlink"/>
    <w:basedOn w:val="Standaardalinea-lettertype"/>
    <w:uiPriority w:val="99"/>
    <w:unhideWhenUsed/>
    <w:rsid w:val="00EC188B"/>
    <w:rPr>
      <w:color w:val="0563C1" w:themeColor="hyperlink"/>
      <w:u w:val="single"/>
    </w:rPr>
  </w:style>
  <w:style w:type="character" w:styleId="Onopgelostemelding">
    <w:name w:val="Unresolved Mention"/>
    <w:basedOn w:val="Standaardalinea-lettertype"/>
    <w:uiPriority w:val="99"/>
    <w:semiHidden/>
    <w:unhideWhenUsed/>
    <w:rsid w:val="00EC188B"/>
    <w:rPr>
      <w:color w:val="605E5C"/>
      <w:shd w:val="clear" w:color="auto" w:fill="E1DFDD"/>
    </w:rPr>
  </w:style>
  <w:style w:type="character" w:styleId="Paginanummer">
    <w:name w:val="page number"/>
    <w:basedOn w:val="Standaardalinea-lettertype"/>
    <w:uiPriority w:val="99"/>
    <w:semiHidden/>
    <w:unhideWhenUsed/>
    <w:rsid w:val="004D3ECF"/>
  </w:style>
  <w:style w:type="table" w:styleId="Tabelraster">
    <w:name w:val="Table Grid"/>
    <w:basedOn w:val="Standaardtabel"/>
    <w:uiPriority w:val="39"/>
    <w:rsid w:val="00DD2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882DEF"/>
    <w:rPr>
      <w:color w:val="954F72" w:themeColor="followedHyperlink"/>
      <w:u w:val="single"/>
    </w:rPr>
  </w:style>
  <w:style w:type="character" w:styleId="Verwijzingopmerking">
    <w:name w:val="annotation reference"/>
    <w:basedOn w:val="Standaardalinea-lettertype"/>
    <w:uiPriority w:val="99"/>
    <w:semiHidden/>
    <w:unhideWhenUsed/>
    <w:rsid w:val="00254C66"/>
    <w:rPr>
      <w:sz w:val="16"/>
      <w:szCs w:val="16"/>
    </w:rPr>
  </w:style>
  <w:style w:type="paragraph" w:styleId="Tekstopmerking">
    <w:name w:val="annotation text"/>
    <w:basedOn w:val="Standaard"/>
    <w:link w:val="TekstopmerkingChar"/>
    <w:uiPriority w:val="99"/>
    <w:semiHidden/>
    <w:unhideWhenUsed/>
    <w:rsid w:val="00254C66"/>
    <w:rPr>
      <w:sz w:val="20"/>
      <w:szCs w:val="20"/>
    </w:rPr>
  </w:style>
  <w:style w:type="character" w:customStyle="1" w:styleId="TekstopmerkingChar">
    <w:name w:val="Tekst opmerking Char"/>
    <w:basedOn w:val="Standaardalinea-lettertype"/>
    <w:link w:val="Tekstopmerking"/>
    <w:uiPriority w:val="99"/>
    <w:semiHidden/>
    <w:rsid w:val="00254C66"/>
    <w:rPr>
      <w:sz w:val="20"/>
      <w:szCs w:val="20"/>
    </w:rPr>
  </w:style>
  <w:style w:type="paragraph" w:styleId="Onderwerpvanopmerking">
    <w:name w:val="annotation subject"/>
    <w:basedOn w:val="Tekstopmerking"/>
    <w:next w:val="Tekstopmerking"/>
    <w:link w:val="OnderwerpvanopmerkingChar"/>
    <w:uiPriority w:val="99"/>
    <w:semiHidden/>
    <w:unhideWhenUsed/>
    <w:rsid w:val="00254C66"/>
    <w:rPr>
      <w:b/>
      <w:bCs/>
    </w:rPr>
  </w:style>
  <w:style w:type="character" w:customStyle="1" w:styleId="OnderwerpvanopmerkingChar">
    <w:name w:val="Onderwerp van opmerking Char"/>
    <w:basedOn w:val="TekstopmerkingChar"/>
    <w:link w:val="Onderwerpvanopmerking"/>
    <w:uiPriority w:val="99"/>
    <w:semiHidden/>
    <w:rsid w:val="00254C66"/>
    <w:rPr>
      <w:b/>
      <w:bCs/>
      <w:sz w:val="20"/>
      <w:szCs w:val="20"/>
    </w:rPr>
  </w:style>
  <w:style w:type="character" w:customStyle="1" w:styleId="normaltextrun">
    <w:name w:val="normaltextrun"/>
    <w:basedOn w:val="Standaardalinea-lettertype"/>
    <w:rsid w:val="001F4473"/>
  </w:style>
  <w:style w:type="paragraph" w:customStyle="1" w:styleId="paragraph">
    <w:name w:val="paragraph"/>
    <w:basedOn w:val="Standaard"/>
    <w:rsid w:val="00BB2611"/>
    <w:pPr>
      <w:spacing w:before="100" w:beforeAutospacing="1" w:after="100" w:afterAutospacing="1"/>
    </w:pPr>
    <w:rPr>
      <w:rFonts w:ascii="Times New Roman" w:eastAsia="Times New Roman" w:hAnsi="Times New Roman" w:cs="Times New Roman"/>
    </w:rPr>
  </w:style>
  <w:style w:type="character" w:customStyle="1" w:styleId="eop">
    <w:name w:val="eop"/>
    <w:basedOn w:val="Standaardalinea-lettertype"/>
    <w:rsid w:val="00BB2611"/>
  </w:style>
  <w:style w:type="paragraph" w:styleId="Revisie">
    <w:name w:val="Revision"/>
    <w:hidden/>
    <w:uiPriority w:val="99"/>
    <w:semiHidden/>
    <w:rsid w:val="00F350D9"/>
  </w:style>
  <w:style w:type="character" w:customStyle="1" w:styleId="markedcontent">
    <w:name w:val="markedcontent"/>
    <w:basedOn w:val="Standaardalinea-lettertype"/>
    <w:rsid w:val="00236314"/>
  </w:style>
  <w:style w:type="character" w:styleId="Tekstvantijdelijkeaanduiding">
    <w:name w:val="Placeholder Text"/>
    <w:basedOn w:val="Standaardalinea-lettertype"/>
    <w:uiPriority w:val="99"/>
    <w:semiHidden/>
    <w:rsid w:val="009D1C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3158">
      <w:bodyDiv w:val="1"/>
      <w:marLeft w:val="0"/>
      <w:marRight w:val="0"/>
      <w:marTop w:val="0"/>
      <w:marBottom w:val="0"/>
      <w:divBdr>
        <w:top w:val="none" w:sz="0" w:space="0" w:color="auto"/>
        <w:left w:val="none" w:sz="0" w:space="0" w:color="auto"/>
        <w:bottom w:val="none" w:sz="0" w:space="0" w:color="auto"/>
        <w:right w:val="none" w:sz="0" w:space="0" w:color="auto"/>
      </w:divBdr>
      <w:divsChild>
        <w:div w:id="795024814">
          <w:marLeft w:val="0"/>
          <w:marRight w:val="0"/>
          <w:marTop w:val="0"/>
          <w:marBottom w:val="0"/>
          <w:divBdr>
            <w:top w:val="none" w:sz="0" w:space="0" w:color="auto"/>
            <w:left w:val="none" w:sz="0" w:space="0" w:color="auto"/>
            <w:bottom w:val="none" w:sz="0" w:space="0" w:color="auto"/>
            <w:right w:val="none" w:sz="0" w:space="0" w:color="auto"/>
          </w:divBdr>
          <w:divsChild>
            <w:div w:id="425737492">
              <w:marLeft w:val="0"/>
              <w:marRight w:val="0"/>
              <w:marTop w:val="0"/>
              <w:marBottom w:val="0"/>
              <w:divBdr>
                <w:top w:val="none" w:sz="0" w:space="0" w:color="auto"/>
                <w:left w:val="none" w:sz="0" w:space="0" w:color="auto"/>
                <w:bottom w:val="none" w:sz="0" w:space="0" w:color="auto"/>
                <w:right w:val="none" w:sz="0" w:space="0" w:color="auto"/>
              </w:divBdr>
              <w:divsChild>
                <w:div w:id="337078696">
                  <w:marLeft w:val="0"/>
                  <w:marRight w:val="0"/>
                  <w:marTop w:val="0"/>
                  <w:marBottom w:val="0"/>
                  <w:divBdr>
                    <w:top w:val="none" w:sz="0" w:space="0" w:color="auto"/>
                    <w:left w:val="none" w:sz="0" w:space="0" w:color="auto"/>
                    <w:bottom w:val="none" w:sz="0" w:space="0" w:color="auto"/>
                    <w:right w:val="none" w:sz="0" w:space="0" w:color="auto"/>
                  </w:divBdr>
                </w:div>
                <w:div w:id="18948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19913">
      <w:bodyDiv w:val="1"/>
      <w:marLeft w:val="0"/>
      <w:marRight w:val="0"/>
      <w:marTop w:val="0"/>
      <w:marBottom w:val="0"/>
      <w:divBdr>
        <w:top w:val="none" w:sz="0" w:space="0" w:color="auto"/>
        <w:left w:val="none" w:sz="0" w:space="0" w:color="auto"/>
        <w:bottom w:val="none" w:sz="0" w:space="0" w:color="auto"/>
        <w:right w:val="none" w:sz="0" w:space="0" w:color="auto"/>
      </w:divBdr>
      <w:divsChild>
        <w:div w:id="1774401041">
          <w:marLeft w:val="0"/>
          <w:marRight w:val="0"/>
          <w:marTop w:val="0"/>
          <w:marBottom w:val="0"/>
          <w:divBdr>
            <w:top w:val="none" w:sz="0" w:space="0" w:color="auto"/>
            <w:left w:val="none" w:sz="0" w:space="0" w:color="auto"/>
            <w:bottom w:val="none" w:sz="0" w:space="0" w:color="auto"/>
            <w:right w:val="none" w:sz="0" w:space="0" w:color="auto"/>
          </w:divBdr>
          <w:divsChild>
            <w:div w:id="9542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6912">
      <w:bodyDiv w:val="1"/>
      <w:marLeft w:val="0"/>
      <w:marRight w:val="0"/>
      <w:marTop w:val="0"/>
      <w:marBottom w:val="0"/>
      <w:divBdr>
        <w:top w:val="none" w:sz="0" w:space="0" w:color="auto"/>
        <w:left w:val="none" w:sz="0" w:space="0" w:color="auto"/>
        <w:bottom w:val="none" w:sz="0" w:space="0" w:color="auto"/>
        <w:right w:val="none" w:sz="0" w:space="0" w:color="auto"/>
      </w:divBdr>
    </w:div>
    <w:div w:id="1759523586">
      <w:bodyDiv w:val="1"/>
      <w:marLeft w:val="0"/>
      <w:marRight w:val="0"/>
      <w:marTop w:val="0"/>
      <w:marBottom w:val="0"/>
      <w:divBdr>
        <w:top w:val="none" w:sz="0" w:space="0" w:color="auto"/>
        <w:left w:val="none" w:sz="0" w:space="0" w:color="auto"/>
        <w:bottom w:val="none" w:sz="0" w:space="0" w:color="auto"/>
        <w:right w:val="none" w:sz="0" w:space="0" w:color="auto"/>
      </w:divBdr>
    </w:div>
    <w:div w:id="1864635085">
      <w:bodyDiv w:val="1"/>
      <w:marLeft w:val="0"/>
      <w:marRight w:val="0"/>
      <w:marTop w:val="0"/>
      <w:marBottom w:val="0"/>
      <w:divBdr>
        <w:top w:val="none" w:sz="0" w:space="0" w:color="auto"/>
        <w:left w:val="none" w:sz="0" w:space="0" w:color="auto"/>
        <w:bottom w:val="none" w:sz="0" w:space="0" w:color="auto"/>
        <w:right w:val="none" w:sz="0" w:space="0" w:color="auto"/>
      </w:divBdr>
      <w:divsChild>
        <w:div w:id="2126651641">
          <w:marLeft w:val="0"/>
          <w:marRight w:val="0"/>
          <w:marTop w:val="0"/>
          <w:marBottom w:val="0"/>
          <w:divBdr>
            <w:top w:val="none" w:sz="0" w:space="0" w:color="auto"/>
            <w:left w:val="none" w:sz="0" w:space="0" w:color="auto"/>
            <w:bottom w:val="none" w:sz="0" w:space="0" w:color="auto"/>
            <w:right w:val="none" w:sz="0" w:space="0" w:color="auto"/>
          </w:divBdr>
          <w:divsChild>
            <w:div w:id="494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62341">
      <w:bodyDiv w:val="1"/>
      <w:marLeft w:val="0"/>
      <w:marRight w:val="0"/>
      <w:marTop w:val="0"/>
      <w:marBottom w:val="0"/>
      <w:divBdr>
        <w:top w:val="none" w:sz="0" w:space="0" w:color="auto"/>
        <w:left w:val="none" w:sz="0" w:space="0" w:color="auto"/>
        <w:bottom w:val="none" w:sz="0" w:space="0" w:color="auto"/>
        <w:right w:val="none" w:sz="0" w:space="0" w:color="auto"/>
      </w:divBdr>
      <w:divsChild>
        <w:div w:id="1597640876">
          <w:marLeft w:val="0"/>
          <w:marRight w:val="0"/>
          <w:marTop w:val="0"/>
          <w:marBottom w:val="0"/>
          <w:divBdr>
            <w:top w:val="none" w:sz="0" w:space="0" w:color="auto"/>
            <w:left w:val="none" w:sz="0" w:space="0" w:color="auto"/>
            <w:bottom w:val="none" w:sz="0" w:space="0" w:color="auto"/>
            <w:right w:val="none" w:sz="0" w:space="0" w:color="auto"/>
          </w:divBdr>
        </w:div>
        <w:div w:id="63872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il.eu/wp-content/uploads/2022/03/IL-Survey_Summary-report_Dec2020.pdf" TargetMode="External"/><Relationship Id="rId18" Type="http://schemas.openxmlformats.org/officeDocument/2006/relationships/hyperlink" Target="https://deinstitutionalisationdotcom.files.wordpress.com/2020/05/eeg-di-report-2020-1.pdf" TargetMode="External"/><Relationship Id="rId26" Type="http://schemas.openxmlformats.org/officeDocument/2006/relationships/hyperlink" Target="https://journals.sagepub.com/doi/full/10.1177/09589287211002435" TargetMode="External"/><Relationship Id="rId3" Type="http://schemas.openxmlformats.org/officeDocument/2006/relationships/customXml" Target="../customXml/item3.xml"/><Relationship Id="rId21" Type="http://schemas.openxmlformats.org/officeDocument/2006/relationships/hyperlink" Target="https://www.ohchr.org/en/documents/general-comments-and-recommendations/general-comment-no5-article-19-right-liv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nil.eu/wp-content/uploads/2022/06/Comparison-between-PA-and-CW_final_ENIL.docx" TargetMode="External"/><Relationship Id="rId17" Type="http://schemas.openxmlformats.org/officeDocument/2006/relationships/hyperlink" Target="https://www.ohchr.org/en/documents/general-comments-and-recommendations/general-comment-no5-article-19-right-live" TargetMode="External"/><Relationship Id="rId25" Type="http://schemas.openxmlformats.org/officeDocument/2006/relationships/hyperlink" Target="https://www.ohchr.org/en/documents/general-comments-and-recommendations/general-comment-no5-article-19-right-liv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www.gov.pl/attachment/5b763e48-a84a-45a4-877c-727f051b23d8" TargetMode="External"/><Relationship Id="rId29" Type="http://schemas.openxmlformats.org/officeDocument/2006/relationships/hyperlink" Target="http://www.enil.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isabilities/documents/convention/convoptprot-e.pdf" TargetMode="External"/><Relationship Id="rId24" Type="http://schemas.openxmlformats.org/officeDocument/2006/relationships/hyperlink" Target="https://eur-lex.europa.eu/legal-content/EN/TXT/HTML/?uri=CELEX:52017XC0119(01)&amp;from=EN"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andfonline.com/doi/full/10.1080/09687599.2019.1621740" TargetMode="External"/><Relationship Id="rId23" Type="http://schemas.openxmlformats.org/officeDocument/2006/relationships/hyperlink" Target="https://enil.eu/wp-content/uploads/2022/06/ENIL-UNCRPD-shadow-report.docx" TargetMode="External"/><Relationship Id="rId28" Type="http://schemas.openxmlformats.org/officeDocument/2006/relationships/hyperlink" Target="mailto:secretariat@enil.eu" TargetMode="External"/><Relationship Id="rId10" Type="http://schemas.openxmlformats.org/officeDocument/2006/relationships/endnotes" Target="endnotes.xml"/><Relationship Id="rId19" Type="http://schemas.openxmlformats.org/officeDocument/2006/relationships/hyperlink" Target="https://socmin.lrv.lt/uploads/socmin/documents/files/pdf/9950_a1-83order.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il.eu/wp-content/uploads/2022/06/Comparison-between-PA-and-CW_final_ENIL.docx" TargetMode="External"/><Relationship Id="rId22" Type="http://schemas.openxmlformats.org/officeDocument/2006/relationships/hyperlink" Target="https://tbinternet.ohchr.org/_layouts/15/treatybodyexternal/Download.aspx?symbolno=CRPD%2fC%2fEU%2fCO%2f1&amp;Lang=en" TargetMode="External"/><Relationship Id="rId27" Type="http://schemas.openxmlformats.org/officeDocument/2006/relationships/hyperlink" Target="mailto:florian.sanden@enil.eu" TargetMode="External"/><Relationship Id="rId30" Type="http://schemas.openxmlformats.org/officeDocument/2006/relationships/hyperlink" Target="http://www.enil.e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enil.eu/wp-content/uploads/2022/03/IL-Survey_Summary-report_Dec2020.pdf" TargetMode="External"/><Relationship Id="rId13" Type="http://schemas.openxmlformats.org/officeDocument/2006/relationships/hyperlink" Target="https://enil.eu/wp-content/uploads/2022/06/ENIL-UNCRPD-shadow-report.docx" TargetMode="External"/><Relationship Id="rId18" Type="http://schemas.openxmlformats.org/officeDocument/2006/relationships/hyperlink" Target="https://journals.sagepub.com/doi/full/10.1177/09589287211002435" TargetMode="External"/><Relationship Id="rId3" Type="http://schemas.openxmlformats.org/officeDocument/2006/relationships/hyperlink" Target="https://www.tandfonline.com/doi/full/10.1080/09687599.2019.1621740" TargetMode="External"/><Relationship Id="rId7" Type="http://schemas.openxmlformats.org/officeDocument/2006/relationships/hyperlink" Target="https://deinstitutionalisationdotcom.files.wordpress.com/2020/05/eeg-di-report-2020-1.pdf" TargetMode="External"/><Relationship Id="rId12" Type="http://schemas.openxmlformats.org/officeDocument/2006/relationships/hyperlink" Target="https://documents-dds-ny.un.org/doc/UNDOC/GEN/G15/226/55/PDF/G1522655.pdf?OpenElement" TargetMode="External"/><Relationship Id="rId17" Type="http://schemas.openxmlformats.org/officeDocument/2006/relationships/hyperlink" Target="https://www.europarl.europa.eu/doceo/document/A-9-2021-0014_EN.html" TargetMode="External"/><Relationship Id="rId2" Type="http://schemas.openxmlformats.org/officeDocument/2006/relationships/hyperlink" Target="https://enil.eu/wp-content/uploads/2022/03/IL-Survey_Summary-report_Dec2020.pdf" TargetMode="External"/><Relationship Id="rId16" Type="http://schemas.openxmlformats.org/officeDocument/2006/relationships/hyperlink" Target="https://eur-lex.europa.eu/legal-content/EN/TXT/HTML/?uri=CELEX:52017XC0119(01)&amp;from=EN" TargetMode="External"/><Relationship Id="rId1" Type="http://schemas.openxmlformats.org/officeDocument/2006/relationships/hyperlink" Target="https://enil.eu/freedom-drive-2022/" TargetMode="External"/><Relationship Id="rId6" Type="http://schemas.openxmlformats.org/officeDocument/2006/relationships/hyperlink" Target="https://research.kent.ac.uk/tizard/2019/06/11/deinstitutionalisation-and-community-living-outcomes-and-costs/" TargetMode="External"/><Relationship Id="rId11" Type="http://schemas.openxmlformats.org/officeDocument/2006/relationships/hyperlink" Target="https://www.ohchr.org/en/treaty-bodies/crpd/regional-consultations-and-guidelines-deinstitutionalisation-article-19" TargetMode="External"/><Relationship Id="rId5" Type="http://schemas.openxmlformats.org/officeDocument/2006/relationships/hyperlink" Target="https://www.ohchr.org/en/documents/general-comments-and-recommendations/general-comment-no5-article-19-right-live" TargetMode="External"/><Relationship Id="rId15" Type="http://schemas.openxmlformats.org/officeDocument/2006/relationships/hyperlink" Target="https://www.ombudsman.europa.eu/en/decision/en/155353" TargetMode="External"/><Relationship Id="rId10" Type="http://schemas.openxmlformats.org/officeDocument/2006/relationships/hyperlink" Target="file:///C:/Users/flori/Downloads/Strategia_rozwoju_us%C5%82ug_spo%C5%82ecznych.pdf" TargetMode="External"/><Relationship Id="rId4" Type="http://schemas.openxmlformats.org/officeDocument/2006/relationships/hyperlink" Target="https://www.un.org/development/desa/disabilities/convention-on-the-rights-of-persons-with-disabilities.html" TargetMode="External"/><Relationship Id="rId9" Type="http://schemas.openxmlformats.org/officeDocument/2006/relationships/hyperlink" Target="https://socmin.lrv.lt/uploads/socmin/documents/files/pdf/9950_a1-83order.pdf" TargetMode="External"/><Relationship Id="rId14" Type="http://schemas.openxmlformats.org/officeDocument/2006/relationships/hyperlink" Target="https://socialeurope.eu/disability-eu-funding-of-institutions-barely-leg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9FA453A683E40B415B1D497963A6F" ma:contentTypeVersion="17" ma:contentTypeDescription="Een nieuw document maken." ma:contentTypeScope="" ma:versionID="0b7ab359d5643d52b62bff2a530d50e3">
  <xsd:schema xmlns:xsd="http://www.w3.org/2001/XMLSchema" xmlns:xs="http://www.w3.org/2001/XMLSchema" xmlns:p="http://schemas.microsoft.com/office/2006/metadata/properties" xmlns:ns2="3fed8cae-d9bd-4f52-8bf1-833d362c67e7" xmlns:ns3="19a03dd6-fa85-46f3-9f4f-9dea462e2dd7" targetNamespace="http://schemas.microsoft.com/office/2006/metadata/properties" ma:root="true" ma:fieldsID="69cba00e3da43a5df801bea33a7d5639" ns2:_="" ns3:_="">
    <xsd:import namespace="3fed8cae-d9bd-4f52-8bf1-833d362c67e7"/>
    <xsd:import namespace="19a03dd6-fa85-46f3-9f4f-9dea462e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d8cae-d9bd-4f52-8bf1-833d362c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316c7d8-17a7-4a9d-a975-8a44f8aea0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a03dd6-fa85-46f3-9f4f-9dea462e2dd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9bc0edd-cf02-4d6a-9417-07215da4c6ec}" ma:internalName="TaxCatchAll" ma:showField="CatchAllData" ma:web="19a03dd6-fa85-46f3-9f4f-9dea462e2d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fed8cae-d9bd-4f52-8bf1-833d362c67e7">
      <Terms xmlns="http://schemas.microsoft.com/office/infopath/2007/PartnerControls"/>
    </lcf76f155ced4ddcb4097134ff3c332f>
    <TaxCatchAll xmlns="19a03dd6-fa85-46f3-9f4f-9dea462e2dd7" xsi:nil="true"/>
  </documentManagement>
</p:properties>
</file>

<file path=customXml/itemProps1.xml><?xml version="1.0" encoding="utf-8"?>
<ds:datastoreItem xmlns:ds="http://schemas.openxmlformats.org/officeDocument/2006/customXml" ds:itemID="{3D0E022A-1341-47B3-90CD-08F725DE5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d8cae-d9bd-4f52-8bf1-833d362c67e7"/>
    <ds:schemaRef ds:uri="19a03dd6-fa85-46f3-9f4f-9dea462e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C2160-FC01-4DE4-B598-1111500A790B}">
  <ds:schemaRefs>
    <ds:schemaRef ds:uri="http://schemas.microsoft.com/sharepoint/v3/contenttype/forms"/>
  </ds:schemaRefs>
</ds:datastoreItem>
</file>

<file path=customXml/itemProps3.xml><?xml version="1.0" encoding="utf-8"?>
<ds:datastoreItem xmlns:ds="http://schemas.openxmlformats.org/officeDocument/2006/customXml" ds:itemID="{05B8434D-AB81-4C41-9337-AC71A130B9FB}">
  <ds:schemaRefs>
    <ds:schemaRef ds:uri="http://schemas.openxmlformats.org/officeDocument/2006/bibliography"/>
  </ds:schemaRefs>
</ds:datastoreItem>
</file>

<file path=customXml/itemProps4.xml><?xml version="1.0" encoding="utf-8"?>
<ds:datastoreItem xmlns:ds="http://schemas.openxmlformats.org/officeDocument/2006/customXml" ds:itemID="{A8305727-50D6-43E6-B46C-8EAC62631ECC}">
  <ds:schemaRefs>
    <ds:schemaRef ds:uri="http://schemas.microsoft.com/office/2006/metadata/properties"/>
    <ds:schemaRef ds:uri="http://schemas.microsoft.com/office/infopath/2007/PartnerControls"/>
    <ds:schemaRef ds:uri="3fed8cae-d9bd-4f52-8bf1-833d362c67e7"/>
    <ds:schemaRef ds:uri="19a03dd6-fa85-46f3-9f4f-9dea462e2dd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2990</Words>
  <Characters>16446</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Bulic</dc:creator>
  <cp:keywords/>
  <dc:description/>
  <cp:lastModifiedBy>Katrijn Ruts [GRIP]</cp:lastModifiedBy>
  <cp:revision>2</cp:revision>
  <cp:lastPrinted>2022-06-22T15:45:00Z</cp:lastPrinted>
  <dcterms:created xsi:type="dcterms:W3CDTF">2022-09-21T08:31:00Z</dcterms:created>
  <dcterms:modified xsi:type="dcterms:W3CDTF">2022-09-21T08:31:00Z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0x01010080B9FA453A683E40B415B1D497963A6F</vt:lpwstr>
  </property>
</Properties>
</file>